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25" w:rsidRPr="00A06E86" w:rsidRDefault="00CD2325" w:rsidP="00847B4C">
      <w:pPr>
        <w:pStyle w:val="ab"/>
        <w:spacing w:after="0" w:line="276" w:lineRule="auto"/>
        <w:ind w:left="1134" w:right="283"/>
        <w:rPr>
          <w:lang w:val="en-US"/>
        </w:rPr>
      </w:pPr>
    </w:p>
    <w:p w:rsidR="00847B4C" w:rsidRPr="00A06E86" w:rsidRDefault="00847B4C" w:rsidP="00847B4C">
      <w:pPr>
        <w:pStyle w:val="ab"/>
        <w:spacing w:after="0"/>
        <w:ind w:left="1134" w:right="283"/>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847B4C">
      <w:pPr>
        <w:pStyle w:val="ab"/>
        <w:spacing w:after="0"/>
        <w:ind w:left="1134" w:right="283"/>
      </w:pPr>
    </w:p>
    <w:p w:rsidR="00847B4C" w:rsidRPr="00A06E86" w:rsidRDefault="00847B4C" w:rsidP="00847B4C">
      <w:pPr>
        <w:pStyle w:val="ab"/>
        <w:spacing w:after="0"/>
        <w:ind w:left="1134" w:right="283"/>
        <w:jc w:val="center"/>
        <w:rPr>
          <w:b/>
          <w:sz w:val="28"/>
          <w:szCs w:val="28"/>
        </w:rPr>
      </w:pPr>
      <w:r w:rsidRPr="00A06E86">
        <w:rPr>
          <w:b/>
          <w:sz w:val="28"/>
          <w:szCs w:val="28"/>
        </w:rPr>
        <w:t>Новое в бухгалтерском учете и налогообложении</w:t>
      </w:r>
    </w:p>
    <w:p w:rsidR="00847B4C" w:rsidRPr="00A06E86" w:rsidRDefault="00847B4C" w:rsidP="00847B4C">
      <w:pPr>
        <w:pStyle w:val="ab"/>
        <w:spacing w:after="0"/>
        <w:ind w:left="1134" w:right="283"/>
        <w:jc w:val="center"/>
        <w:rPr>
          <w:b/>
          <w:sz w:val="28"/>
          <w:szCs w:val="28"/>
        </w:rPr>
      </w:pPr>
      <w:r w:rsidRPr="00A06E86">
        <w:rPr>
          <w:b/>
          <w:sz w:val="28"/>
          <w:szCs w:val="28"/>
        </w:rPr>
        <w:t>(документы, полученные за период 1</w:t>
      </w:r>
      <w:r w:rsidR="00001EDD">
        <w:rPr>
          <w:b/>
          <w:sz w:val="28"/>
          <w:szCs w:val="28"/>
        </w:rPr>
        <w:t>4</w:t>
      </w:r>
      <w:r w:rsidRPr="00A06E86">
        <w:rPr>
          <w:b/>
          <w:sz w:val="28"/>
          <w:szCs w:val="28"/>
        </w:rPr>
        <w:t>.1</w:t>
      </w:r>
      <w:r w:rsidR="00001EDD">
        <w:rPr>
          <w:b/>
          <w:sz w:val="28"/>
          <w:szCs w:val="28"/>
        </w:rPr>
        <w:t>2</w:t>
      </w:r>
      <w:r w:rsidRPr="00A06E86">
        <w:rPr>
          <w:b/>
          <w:sz w:val="28"/>
          <w:szCs w:val="28"/>
        </w:rPr>
        <w:t xml:space="preserve">.2015 - </w:t>
      </w:r>
      <w:r w:rsidR="00001EDD">
        <w:rPr>
          <w:b/>
          <w:sz w:val="28"/>
          <w:szCs w:val="28"/>
        </w:rPr>
        <w:t>20</w:t>
      </w:r>
      <w:r w:rsidRPr="00A06E86">
        <w:rPr>
          <w:b/>
          <w:sz w:val="28"/>
          <w:szCs w:val="28"/>
        </w:rPr>
        <w:t>.1</w:t>
      </w:r>
      <w:r w:rsidR="00001EDD">
        <w:rPr>
          <w:b/>
          <w:sz w:val="28"/>
          <w:szCs w:val="28"/>
        </w:rPr>
        <w:t>2</w:t>
      </w:r>
      <w:r w:rsidRPr="00A06E86">
        <w:rPr>
          <w:b/>
          <w:sz w:val="28"/>
          <w:szCs w:val="28"/>
        </w:rPr>
        <w:t>.2015)</w:t>
      </w:r>
    </w:p>
    <w:p w:rsidR="00847B4C" w:rsidRPr="00A06E86" w:rsidRDefault="00847B4C" w:rsidP="00EE331A"/>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БУХГАЛТЕРСКИЙ УЧЕТ И НАЛОГООБЛОЖЕНИЕ</w:t>
      </w:r>
    </w:p>
    <w:p w:rsidR="00A06E86" w:rsidRDefault="00A06E86" w:rsidP="00A06E86"/>
    <w:p w:rsidR="001F3B32" w:rsidRDefault="001F3B32" w:rsidP="001F3B32">
      <w:pPr>
        <w:pStyle w:val="af"/>
      </w:pPr>
      <w:r>
        <w:t>Для применения с 2016 года вводится в действие План счетов казначейского учета</w:t>
      </w:r>
    </w:p>
    <w:p w:rsidR="001F3B32" w:rsidRDefault="001F3B32" w:rsidP="001F3B32">
      <w:r>
        <w:t>Для органов, осуществляющих кассовое обслуживание исполнения бюджетов бюджетной системы РФ, а также органов Федерального казначейства, финансовых органов субъектов РФ (муниципальных образований), осуществляющих открытие и ведение лицевых счетов государственных (муниципальных) бюджетных, автономных учреждений и иных юридических лиц, утвержден самостоятельный План счетов и Инструкция по его применению.</w:t>
      </w:r>
    </w:p>
    <w:p w:rsidR="001F3B32" w:rsidRDefault="001F3B32" w:rsidP="001F3B32">
      <w:r>
        <w:t>Одновременно исключаются соответствующие положения из Плана счетов бюджетного учета и Инструкции по его применению, утвержденные Приказом Минфина России от 6 декабря 2010 г. N 162н.</w:t>
      </w:r>
    </w:p>
    <w:p w:rsidR="001F3B32" w:rsidRDefault="001F3B32" w:rsidP="001F3B32">
      <w:r>
        <w:t>В настоящее время документ находится на регистрации в Минюсте России. Следует учитывать, что при регистрации текст документа может быть изменен.</w:t>
      </w:r>
    </w:p>
    <w:p w:rsidR="001F3B32" w:rsidRDefault="001F3B32" w:rsidP="001F3B32">
      <w:pPr>
        <w:pStyle w:val="af1"/>
      </w:pPr>
      <w:r>
        <w:t xml:space="preserve">(Приказ Минфина России от 30.11.2015 N 184н </w:t>
      </w:r>
      <w:r w:rsidR="0036437B">
        <w:t>«</w:t>
      </w:r>
      <w:r>
        <w:t>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 N 162н</w:t>
      </w:r>
      <w:r w:rsidR="0036437B">
        <w:t>»</w:t>
      </w:r>
      <w:r>
        <w:t>)</w:t>
      </w:r>
    </w:p>
    <w:p w:rsidR="001F3B32" w:rsidRDefault="001F3B32" w:rsidP="00A06E86"/>
    <w:p w:rsidR="00820D6C" w:rsidRDefault="00820D6C" w:rsidP="00820D6C">
      <w:pPr>
        <w:pStyle w:val="af"/>
      </w:pPr>
      <w:r>
        <w:t>Для некредитных финансовых организаций установлен порядок бухгалтерского учета операций, связанных с осуществлением договора доверительного управления имуществом</w:t>
      </w:r>
    </w:p>
    <w:p w:rsidR="00820D6C" w:rsidRDefault="00820D6C" w:rsidP="00820D6C">
      <w:r>
        <w:t>Имущество, переданное в доверительное управление, обособляется от другого имущества учредителя управления, отражается на отдельном балансе, и по нему ведется самостоятельный учет.</w:t>
      </w:r>
    </w:p>
    <w:p w:rsidR="00820D6C" w:rsidRDefault="00820D6C" w:rsidP="00820D6C">
      <w:r>
        <w:t>Положение не распространяется на ряд операций, в том числе с имуществом, полученным в доверительное управление по договору: с физическим лицом, с юридическим лицом, не являющимся НФО, а также по договору доверительного управления паевым инвестиционным фондом, а также по договору доверительного управления ипотечным покрытием.</w:t>
      </w:r>
    </w:p>
    <w:p w:rsidR="00820D6C" w:rsidRDefault="00820D6C" w:rsidP="00820D6C">
      <w:r>
        <w:t>Положение применяется микрофинансовыми организациями, кредитными потребительскими кооперативами, жилищными накопительными кооперативами с 1 января 2018 года, сельскохозяйственными кредитными потребительскими кооперативами и ломбардами - с 1 января 2019 года.</w:t>
      </w:r>
    </w:p>
    <w:p w:rsidR="00820D6C" w:rsidRDefault="00820D6C" w:rsidP="00820D6C">
      <w:pPr>
        <w:pStyle w:val="af1"/>
      </w:pPr>
      <w:r>
        <w:t xml:space="preserve">(Положение </w:t>
      </w:r>
      <w:r w:rsidR="0036437B">
        <w:t>«</w:t>
      </w:r>
      <w:r>
        <w:t>Отраслевой стандарт бухгалтерского учета операций, связанных с осуществлением договора доверительного управления имуществом, некредитными финансовыми организациями</w:t>
      </w:r>
      <w:r w:rsidR="0036437B">
        <w:t>»</w:t>
      </w:r>
      <w:r>
        <w:t>, утв. Банком России 18.11.2015 N 505-П, зарегистрировано в Минюсте России 09.12.2015 N 40028)</w:t>
      </w:r>
    </w:p>
    <w:p w:rsidR="00820D6C" w:rsidRDefault="00820D6C" w:rsidP="00820D6C"/>
    <w:p w:rsidR="0036437B" w:rsidRDefault="0036437B" w:rsidP="00820D6C"/>
    <w:p w:rsidR="00847B4C" w:rsidRPr="00A06E86" w:rsidRDefault="00497804" w:rsidP="005C1638">
      <w:pPr>
        <w:pStyle w:val="ab"/>
        <w:keepNext/>
        <w:spacing w:after="0"/>
        <w:ind w:left="1134" w:right="284"/>
        <w:jc w:val="center"/>
        <w:rPr>
          <w:b/>
          <w:sz w:val="28"/>
          <w:szCs w:val="28"/>
        </w:rPr>
      </w:pPr>
      <w:r>
        <w:rPr>
          <w:b/>
          <w:sz w:val="28"/>
          <w:szCs w:val="28"/>
        </w:rPr>
        <w:lastRenderedPageBreak/>
        <w:t>ПЕНСИОННОЕ И СОЦИАЛЬНОЕ</w:t>
      </w:r>
      <w:r w:rsidR="00847B4C" w:rsidRPr="00A06E86">
        <w:rPr>
          <w:b/>
          <w:sz w:val="28"/>
          <w:szCs w:val="28"/>
        </w:rPr>
        <w:t xml:space="preserve"> СТРАХОВАНИЕ И ОБЕСПЕЧЕНИЕ</w:t>
      </w:r>
    </w:p>
    <w:p w:rsidR="00847B4C" w:rsidRDefault="00847B4C" w:rsidP="00EE331A"/>
    <w:p w:rsidR="003421AD" w:rsidRDefault="003421AD" w:rsidP="003421AD">
      <w:pPr>
        <w:pStyle w:val="af"/>
      </w:pPr>
      <w:r>
        <w:t xml:space="preserve">В 2016 году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страхователями в порядке и по тарифам, установленным Федеральным законом </w:t>
      </w:r>
      <w:r w:rsidR="0036437B">
        <w:t>«</w:t>
      </w:r>
      <w:r>
        <w:t>О страховых тарифах на обязательное социальное страхование от несчастных случаев на производстве и профессиональных заболеваний на 2006 год</w:t>
      </w:r>
      <w:r w:rsidR="0036437B">
        <w:t>»</w:t>
      </w:r>
    </w:p>
    <w:p w:rsidR="003421AD" w:rsidRDefault="003421AD" w:rsidP="003421AD">
      <w:r>
        <w:t xml:space="preserve">Установлено, что 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 которые начислены в пользу застрахованных в рамках трудовых отношений и гражданско-правовых договоров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 Федеральным законом от 24 июля 1998 года N 125-ФЗ </w:t>
      </w:r>
      <w:r w:rsidR="0036437B">
        <w:t>«</w:t>
      </w:r>
      <w:r>
        <w:t>Об обязательном социальном страховании от несчастных случаев на производстве и профессиональных заболеваний</w:t>
      </w:r>
      <w:r w:rsidR="0036437B">
        <w:t>»</w:t>
      </w:r>
      <w:r>
        <w:t>.</w:t>
      </w:r>
    </w:p>
    <w:p w:rsidR="003421AD" w:rsidRDefault="003421AD" w:rsidP="003421AD">
      <w:r>
        <w:t>Также определено, что в 2016 году страховые взносы на обязательное социальное страхование от несчастных случаев на производстве и профессиональных заболеваний уплачиваются в размере 60 процентов размеров установленных страховых тарифов индивидуальными предпринимателями в части начисленных по всем основаниям независимо от источников финансирования выплат в денежной и (или) натуральной формах (включая в соответствующих случаях вознаграждения по гражданско-правовым договорам) работникам, являющимся инвалидами I, II или III группы.</w:t>
      </w:r>
    </w:p>
    <w:p w:rsidR="003421AD" w:rsidRDefault="003421AD" w:rsidP="003421AD">
      <w:pPr>
        <w:pStyle w:val="af1"/>
      </w:pPr>
      <w:r>
        <w:t xml:space="preserve">(Федеральный закон от 14.12.2015 N 362-ФЗ </w:t>
      </w:r>
      <w:r w:rsidR="0036437B">
        <w:t>«</w:t>
      </w:r>
      <w:r>
        <w:t>О страховых тарифах на обязательное социальное страхование от несчастных случаев на производстве и профессиональных заболеваний на 2016 год</w:t>
      </w:r>
      <w:r w:rsidR="0036437B">
        <w:t>»</w:t>
      </w:r>
      <w:r>
        <w:t>)</w:t>
      </w:r>
    </w:p>
    <w:p w:rsidR="003421AD" w:rsidRDefault="003421AD" w:rsidP="003421AD"/>
    <w:p w:rsidR="003421AD" w:rsidRDefault="003421AD" w:rsidP="003421AD">
      <w:pPr>
        <w:pStyle w:val="af"/>
      </w:pPr>
      <w:r>
        <w:t xml:space="preserve">На 2016 год </w:t>
      </w:r>
      <w:r w:rsidR="0036437B">
        <w:t>«</w:t>
      </w:r>
      <w:r>
        <w:t>заморожено</w:t>
      </w:r>
      <w:r w:rsidR="0036437B">
        <w:t>»</w:t>
      </w:r>
      <w:r>
        <w:t xml:space="preserve"> формирование накопительной пенсии</w:t>
      </w:r>
    </w:p>
    <w:p w:rsidR="003421AD" w:rsidRDefault="003421AD" w:rsidP="003421AD">
      <w:r>
        <w:t>В следующем году полный размер индивидуальной части тарифа страхового взноса по обязательному пенсионному страхованию будет направляться на финансирование страховой пенсии.</w:t>
      </w:r>
    </w:p>
    <w:p w:rsidR="003421AD" w:rsidRDefault="003421AD" w:rsidP="003421AD">
      <w:r>
        <w:t>При этом суммы страховых взносов будут отражены на индивидуальном лицевом счете застрахованного лица и учтены при определении его индивидуального пенсионного коэффициента за 2016 год, в том числе с учетом соблюдения условий определения максимального значения указанного коэффициента.</w:t>
      </w:r>
    </w:p>
    <w:p w:rsidR="003421AD" w:rsidRDefault="001F3B32" w:rsidP="001F3B32">
      <w:pPr>
        <w:pStyle w:val="af1"/>
      </w:pPr>
      <w:r>
        <w:t>(</w:t>
      </w:r>
      <w:r w:rsidR="003421AD">
        <w:t>Федеральный закон от 14.12.2015 N 373-ФЗ</w:t>
      </w:r>
      <w:r>
        <w:t xml:space="preserve"> </w:t>
      </w:r>
      <w:r w:rsidR="0036437B">
        <w:t>«</w:t>
      </w:r>
      <w:r w:rsidR="003421AD">
        <w:t xml:space="preserve">О внесении изменений в статью 33.3 Федерального закона </w:t>
      </w:r>
      <w:r w:rsidR="0036437B">
        <w:t>«</w:t>
      </w:r>
      <w:r w:rsidR="003421AD">
        <w:t>Об обязательном пенсионном страховании в Российской Федерации</w:t>
      </w:r>
      <w:r w:rsidR="0036437B">
        <w:t>»</w:t>
      </w:r>
      <w:r w:rsidR="003421AD">
        <w:t xml:space="preserve"> и Федеральный закон </w:t>
      </w:r>
      <w:r w:rsidR="0036437B">
        <w:t>«</w:t>
      </w:r>
      <w:r w:rsidR="003421AD">
        <w: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r w:rsidR="0036437B">
        <w:t>»</w:t>
      </w:r>
      <w:r>
        <w:t>)</w:t>
      </w:r>
    </w:p>
    <w:p w:rsidR="003421AD" w:rsidRDefault="003421AD" w:rsidP="003421AD"/>
    <w:p w:rsidR="003421AD" w:rsidRPr="00A06E86" w:rsidRDefault="003421AD" w:rsidP="003421AD">
      <w:pPr>
        <w:pStyle w:val="ab"/>
        <w:keepNext/>
        <w:spacing w:after="0"/>
        <w:ind w:left="1134" w:right="284"/>
        <w:jc w:val="center"/>
        <w:rPr>
          <w:b/>
          <w:sz w:val="28"/>
          <w:szCs w:val="28"/>
        </w:rPr>
      </w:pPr>
      <w:r>
        <w:rPr>
          <w:b/>
          <w:sz w:val="28"/>
          <w:szCs w:val="28"/>
        </w:rPr>
        <w:t>СТАТИСТИКА</w:t>
      </w:r>
    </w:p>
    <w:p w:rsidR="003421AD" w:rsidRDefault="003421AD" w:rsidP="00EE331A"/>
    <w:p w:rsidR="003421AD" w:rsidRDefault="003421AD" w:rsidP="003421AD">
      <w:pPr>
        <w:pStyle w:val="af"/>
      </w:pPr>
      <w:r>
        <w:t>Обновлены формы статистического наблюдения в области оплаты труда работников сферы образования, науки, культуры, здравоохранения и социального обслуживания, в отношении которых предусмотрены мероприятия по повышению средней заработной платы</w:t>
      </w:r>
    </w:p>
    <w:p w:rsidR="003421AD" w:rsidRDefault="003421AD" w:rsidP="003421AD">
      <w:r>
        <w:t>Утверждены новые квартальные формы отчета о численности и оплате труда работников по категориям персонала сферы образования, науки, здравоохранения, социального обслуживания и культуры (формы N ЗП-образование, N ЗП-наука, N ЗП-здрав, N ЗП-соц, N ЗП-культура), подлежащие применению с отчета за январь - март 2016 года.</w:t>
      </w:r>
    </w:p>
    <w:p w:rsidR="003421AD" w:rsidRDefault="003421AD" w:rsidP="003421AD">
      <w:r>
        <w:t>Данные виды отчетности представляются на 10 день после отчетного периода юридическими лицами государственной и муниципальной форм собственности, осуществляющие деятельность в сфере:</w:t>
      </w:r>
    </w:p>
    <w:p w:rsidR="003421AD" w:rsidRDefault="003421AD" w:rsidP="003421AD">
      <w:pPr>
        <w:pStyle w:val="af3"/>
        <w:numPr>
          <w:ilvl w:val="0"/>
          <w:numId w:val="7"/>
        </w:numPr>
      </w:pPr>
      <w:r>
        <w:t>здравоохранения;</w:t>
      </w:r>
    </w:p>
    <w:p w:rsidR="003421AD" w:rsidRDefault="003421AD" w:rsidP="003421AD">
      <w:pPr>
        <w:pStyle w:val="af3"/>
        <w:numPr>
          <w:ilvl w:val="0"/>
          <w:numId w:val="7"/>
        </w:numPr>
      </w:pPr>
      <w:r>
        <w:lastRenderedPageBreak/>
        <w:t>образования;</w:t>
      </w:r>
    </w:p>
    <w:p w:rsidR="003421AD" w:rsidRDefault="003421AD" w:rsidP="003421AD">
      <w:pPr>
        <w:pStyle w:val="af3"/>
        <w:numPr>
          <w:ilvl w:val="0"/>
          <w:numId w:val="7"/>
        </w:numPr>
      </w:pPr>
      <w:r>
        <w:t>научных исследований и разработок;</w:t>
      </w:r>
    </w:p>
    <w:p w:rsidR="003421AD" w:rsidRDefault="003421AD" w:rsidP="003421AD">
      <w:pPr>
        <w:pStyle w:val="af3"/>
        <w:numPr>
          <w:ilvl w:val="0"/>
          <w:numId w:val="7"/>
        </w:numPr>
      </w:pPr>
      <w:r>
        <w:t>культуры, искусства и кинематографии;</w:t>
      </w:r>
    </w:p>
    <w:p w:rsidR="003421AD" w:rsidRDefault="003421AD" w:rsidP="003421AD">
      <w:pPr>
        <w:pStyle w:val="af3"/>
        <w:numPr>
          <w:ilvl w:val="0"/>
          <w:numId w:val="7"/>
        </w:numPr>
      </w:pPr>
      <w:r>
        <w:t>социального обслуживания (в т.ч. бюро медико-социальной экспертизы всех уровней).</w:t>
      </w:r>
    </w:p>
    <w:p w:rsidR="003421AD" w:rsidRDefault="003421AD" w:rsidP="003421AD">
      <w:r>
        <w:t>Формы содержат указания по их заполнению, сроки и адреса их предоставления.</w:t>
      </w:r>
    </w:p>
    <w:p w:rsidR="003421AD" w:rsidRDefault="003421AD" w:rsidP="003421AD">
      <w:r>
        <w:t>С введением нового статистического инструментария признается утратившим силу Приказ Росстата от 19.11.2014 N 671, которым был утвержден действующий инструментарий для проведения статистического наблюдения в сфере оплаты труда данных работников.</w:t>
      </w:r>
    </w:p>
    <w:p w:rsidR="003421AD" w:rsidRDefault="003421AD" w:rsidP="003421AD">
      <w:pPr>
        <w:pStyle w:val="af1"/>
      </w:pPr>
      <w:r>
        <w:t xml:space="preserve">(Приказ Росстата от 30.11.2015 N 594 </w:t>
      </w:r>
      <w:r w:rsidR="0036437B">
        <w:t>«</w:t>
      </w:r>
      <w:r>
        <w:t xml:space="preserve">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w:t>
      </w:r>
      <w:r w:rsidR="0036437B">
        <w:t>«</w:t>
      </w:r>
      <w:r>
        <w:t>О мероприятиях по реализации государственной социальной политики</w:t>
      </w:r>
      <w:r w:rsidR="0036437B">
        <w:t>»</w:t>
      </w:r>
      <w:r>
        <w:t>)</w:t>
      </w:r>
    </w:p>
    <w:p w:rsidR="003421AD" w:rsidRPr="00A06E86" w:rsidRDefault="003421AD" w:rsidP="00EE331A"/>
    <w:p w:rsidR="00847B4C" w:rsidRPr="00A06E86" w:rsidRDefault="00847B4C" w:rsidP="005C1638">
      <w:pPr>
        <w:pStyle w:val="ab"/>
        <w:keepNext/>
        <w:spacing w:after="0"/>
        <w:ind w:left="1134" w:right="284"/>
        <w:jc w:val="center"/>
        <w:rPr>
          <w:b/>
          <w:sz w:val="28"/>
          <w:szCs w:val="28"/>
        </w:rPr>
      </w:pPr>
      <w:r w:rsidRPr="00A06E86">
        <w:rPr>
          <w:b/>
          <w:sz w:val="28"/>
          <w:szCs w:val="28"/>
        </w:rPr>
        <w:t>ТАМОЖЕННОЕ ДЕЛО</w:t>
      </w:r>
    </w:p>
    <w:p w:rsidR="00847B4C" w:rsidRDefault="00847B4C" w:rsidP="00EE331A"/>
    <w:p w:rsidR="008810E7" w:rsidRDefault="008810E7" w:rsidP="008810E7">
      <w:pPr>
        <w:pStyle w:val="af"/>
      </w:pPr>
      <w:r>
        <w:t>В соответствии с Указом Президента РФ действие Договора о зоне свободной торговли в отношении Украины должно быть приостановлено с 1 января 2016 года</w:t>
      </w:r>
    </w:p>
    <w:p w:rsidR="008810E7" w:rsidRDefault="008810E7" w:rsidP="008810E7">
      <w:r>
        <w:t>Договор был подписан 18 октября 2011 года в Санкт-Петербурге с целью обеспечения необходимых условий для полноценного и эффективного функционирования зоны свободной торговли на пространстве СНГ и создания благоприятных условий для дальнейшей интеграции на основе норм Всемирной торговой организации.</w:t>
      </w:r>
    </w:p>
    <w:p w:rsidR="008810E7" w:rsidRDefault="008810E7" w:rsidP="008810E7">
      <w:r>
        <w:t>Сторонами Договора являются Россия, Украина, Белоруссия, Казахстан, Киргизия, Молдавия, Армения и Таджикистан.</w:t>
      </w:r>
    </w:p>
    <w:p w:rsidR="008810E7" w:rsidRDefault="008810E7" w:rsidP="008810E7">
      <w:r>
        <w:t>Положения Договора касаются применения таможенных пошлин, порядка определения страны происхождения товаров, отмены количественных ограничений во взаимной торговле, а также применения специальных защитных, антидемпинговых и компенсационных мер во взаимной торговле и пр.</w:t>
      </w:r>
    </w:p>
    <w:p w:rsidR="008810E7" w:rsidRDefault="008810E7" w:rsidP="008810E7">
      <w:pPr>
        <w:pStyle w:val="af1"/>
      </w:pPr>
      <w:r>
        <w:t xml:space="preserve">(Указ Президента РФ от 16.12.2015 N 628 </w:t>
      </w:r>
      <w:r w:rsidR="0036437B">
        <w:t>«</w:t>
      </w:r>
      <w:r>
        <w:t>О приостановлении Российской Федерацией действия Договора о зоне свободной торговли в отношении Украины</w:t>
      </w:r>
      <w:r w:rsidR="0036437B">
        <w:t>»</w:t>
      </w:r>
      <w:r>
        <w:t>)</w:t>
      </w:r>
    </w:p>
    <w:p w:rsidR="008810E7" w:rsidRDefault="008810E7" w:rsidP="00EE331A"/>
    <w:p w:rsidR="006C65AC" w:rsidRDefault="006C65AC" w:rsidP="006C65AC">
      <w:pPr>
        <w:pStyle w:val="af"/>
      </w:pPr>
      <w:r>
        <w:t xml:space="preserve">Утверждена </w:t>
      </w:r>
      <w:r w:rsidR="0036437B">
        <w:t>«</w:t>
      </w:r>
      <w:r>
        <w:t>таможенная</w:t>
      </w:r>
      <w:r w:rsidR="0036437B">
        <w:t>»</w:t>
      </w:r>
      <w:r>
        <w:t xml:space="preserve"> статформа для участников внешнеэкономической деятельности в рамках ЕАЭС</w:t>
      </w:r>
    </w:p>
    <w:p w:rsidR="006C65AC" w:rsidRDefault="006C65AC" w:rsidP="006C65AC">
      <w:r>
        <w:t>Новым Постановлением Правительства РФ предусмотрено, что российское лицо, осуществляющее внешнеэкономическую деятельность, в соответствии с которой товары ввозятся в Россию с территорий государств - членов ЕАЭС или вывозятся из России на территории государств - членов ЕАЭС, представляет статистические формы в таможенный орган, в регионе деятельности которого оно состоит на учете в налоговой инспекции. Напомним, членами ЕАЭС в настоящее время помимо России являются следующие республики: Армения, Белоруссия, Казахстан и Киргизия.</w:t>
      </w:r>
    </w:p>
    <w:p w:rsidR="006C65AC" w:rsidRDefault="006C65AC" w:rsidP="006C65AC">
      <w:r>
        <w:t>Статистическая форма учета перемещения товаров, приведенная в приложении к Постановлению, заполняется за отчетный месяц по нескольким операциям с товарами, отгруженными (полученными) на одних и тех же условиях в рамках одного контракта (договора) (при наличии), или отдельно по каждой отгрузке (получению) продукции.</w:t>
      </w:r>
    </w:p>
    <w:p w:rsidR="006C65AC" w:rsidRDefault="006C65AC" w:rsidP="006C65AC">
      <w:r>
        <w:t>Форма, заполненная с использованием программного обеспечения, размещенного на официальном сайте ФТС России, передается в таможню не позднее восьмого рабочего дня месяца, следующего за отчетным, в котором товары отгружены со склада или получены на него. При отсутствии у участника ВЭД электронной подписи статистическая форма, заверенная подписью и печатью (при ее наличии), представляется в таможенный орган на бумажном носителе (лично или по почте заказным письмом). Датой представления формы считается дата отправки почтового отправления либо дата фактической передачи документа в таможенный орган.</w:t>
      </w:r>
    </w:p>
    <w:p w:rsidR="006C65AC" w:rsidRDefault="006C65AC" w:rsidP="006C65AC">
      <w:pPr>
        <w:pStyle w:val="af1"/>
      </w:pPr>
      <w:r>
        <w:t xml:space="preserve">(Постановление Правительства РФ от 7 декабря 2015 г. № 1329 </w:t>
      </w:r>
      <w:r w:rsidR="0036437B">
        <w:t>«</w:t>
      </w:r>
      <w:r>
        <w:t>Об организации ведения статистики взаимной торговли Российской Федерации с государствами - членами Евразийского экономического союза</w:t>
      </w:r>
      <w:r w:rsidR="0036437B">
        <w:t>»</w:t>
      </w:r>
      <w:r>
        <w:t>)</w:t>
      </w:r>
    </w:p>
    <w:p w:rsidR="006C65AC" w:rsidRPr="0036437B" w:rsidRDefault="006C65AC" w:rsidP="006C65AC"/>
    <w:p w:rsidR="00847B4C" w:rsidRPr="00A06E86" w:rsidRDefault="00847B4C" w:rsidP="005C1638">
      <w:pPr>
        <w:pStyle w:val="ab"/>
        <w:keepNext/>
        <w:spacing w:after="0"/>
        <w:ind w:left="1134" w:right="284"/>
        <w:jc w:val="center"/>
        <w:rPr>
          <w:b/>
          <w:sz w:val="28"/>
          <w:szCs w:val="28"/>
        </w:rPr>
      </w:pPr>
      <w:r w:rsidRPr="00A06E86">
        <w:rPr>
          <w:b/>
          <w:sz w:val="28"/>
          <w:szCs w:val="28"/>
        </w:rPr>
        <w:t>ПРАВОВЫЕ НОВОСТИ</w:t>
      </w:r>
    </w:p>
    <w:p w:rsidR="00A06E86" w:rsidRDefault="00A06E86" w:rsidP="00EE331A"/>
    <w:p w:rsidR="001F3B32" w:rsidRDefault="001F3B32" w:rsidP="001F3B32">
      <w:pPr>
        <w:pStyle w:val="af"/>
      </w:pPr>
      <w:r>
        <w:t>С 1 января 2016 года минимальный размер оплаты труда установлен в размере 6204 рублей в месяц</w:t>
      </w:r>
    </w:p>
    <w:p w:rsidR="001F3B32" w:rsidRDefault="001F3B32" w:rsidP="001F3B32">
      <w:r>
        <w:t>С 1 января 2015 года МРОТ составлял 5965 рублей в месяц.</w:t>
      </w:r>
    </w:p>
    <w:p w:rsidR="001F3B32" w:rsidRDefault="001F3B32" w:rsidP="001F3B32">
      <w:pPr>
        <w:pStyle w:val="af1"/>
      </w:pPr>
      <w:r>
        <w:t xml:space="preserve">(Федеральный закон от 14.12.2015 N 376-ФЗ </w:t>
      </w:r>
      <w:r w:rsidR="0036437B">
        <w:t>«</w:t>
      </w:r>
      <w:r>
        <w:t xml:space="preserve">О внесении изменения в статью 1 Федерального закона </w:t>
      </w:r>
      <w:r w:rsidR="0036437B">
        <w:t>«</w:t>
      </w:r>
      <w:r>
        <w:t>О минимальном размере оплаты труда</w:t>
      </w:r>
      <w:r w:rsidR="0036437B">
        <w:t>»</w:t>
      </w:r>
      <w:r>
        <w:t>)</w:t>
      </w:r>
    </w:p>
    <w:p w:rsidR="001F3B32" w:rsidRDefault="001F3B32" w:rsidP="001F3B32"/>
    <w:p w:rsidR="008B41DB" w:rsidRDefault="008B41DB" w:rsidP="008B41DB">
      <w:pPr>
        <w:pStyle w:val="af"/>
      </w:pPr>
      <w:r>
        <w:t>С 1 января 2016 года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8B41DB" w:rsidRDefault="008B41DB" w:rsidP="008B41DB">
      <w:r>
        <w:t>С 1 января 2016 года Банком России не устанавливается самостоятельное значение ставки рефинансирования Банка России. Изменение ставки рефинансирования будет происходить одновременно с изменением ключевой ставки Банка России на ту же величину.</w:t>
      </w:r>
    </w:p>
    <w:p w:rsidR="008B41DB" w:rsidRDefault="008B41DB" w:rsidP="008B41DB">
      <w:r>
        <w:t xml:space="preserve">Указание вступает в силу со дня его подписания и подлежит официальному опубликованию в </w:t>
      </w:r>
      <w:r w:rsidR="0036437B">
        <w:t>«</w:t>
      </w:r>
      <w:r>
        <w:t>Вестнике Банка России</w:t>
      </w:r>
      <w:r w:rsidR="0036437B">
        <w:t>»</w:t>
      </w:r>
      <w:r>
        <w:t>.</w:t>
      </w:r>
    </w:p>
    <w:p w:rsidR="008B41DB" w:rsidRDefault="008B41DB" w:rsidP="008B41DB">
      <w:pPr>
        <w:pStyle w:val="af1"/>
      </w:pPr>
      <w:r>
        <w:t xml:space="preserve">(Указание Банка России от 11.12.2015 N 3894-У </w:t>
      </w:r>
      <w:r w:rsidR="0036437B">
        <w:t>«</w:t>
      </w:r>
      <w:r>
        <w:t>О ставке рефинансирования Банка России и ключевой ставке Банка России</w:t>
      </w:r>
      <w:r w:rsidR="0036437B">
        <w:t>»</w:t>
      </w:r>
      <w:r>
        <w:t>)</w:t>
      </w:r>
    </w:p>
    <w:p w:rsidR="008B41DB" w:rsidRDefault="008B41DB" w:rsidP="00EE331A"/>
    <w:p w:rsidR="00CC6BD0" w:rsidRDefault="00CC6BD0" w:rsidP="00CC6BD0">
      <w:pPr>
        <w:pStyle w:val="af"/>
      </w:pPr>
      <w:r>
        <w:t>ЦБ сохранил ключевую ставку на уровне 11%</w:t>
      </w:r>
    </w:p>
    <w:p w:rsidR="00CC6BD0" w:rsidRDefault="00CC6BD0" w:rsidP="00CC6BD0">
      <w:r>
        <w:t>Совет директоров Банка России не стал снижать ключевую ставку с 11 процентов годовых, сообщает его пресс-служба. В сентябре, когда ЦБ принял аналогичное решение, он обосновал его ростом инфляции и инфляционных ожиданий под воздействием августовской девальвации, когда после потери рублем 30 процентов своей стоимости курс приблизился к пиковым значениям февраля.</w:t>
      </w:r>
    </w:p>
    <w:p w:rsidR="00CC6BD0" w:rsidRDefault="00CC6BD0" w:rsidP="00CC6BD0">
      <w:r>
        <w:t>Следующее заседание совета директоров Банка России, на котором будет рассматриваться вопрос о ключевой ставке, состоится 29 января.</w:t>
      </w:r>
    </w:p>
    <w:p w:rsidR="00CC6BD0" w:rsidRPr="00A06E86" w:rsidRDefault="00CC6BD0" w:rsidP="00CC6BD0"/>
    <w:p w:rsidR="00847B4C" w:rsidRPr="00A06E86" w:rsidRDefault="00847B4C" w:rsidP="005C1638">
      <w:pPr>
        <w:pStyle w:val="ab"/>
        <w:keepNext/>
        <w:spacing w:after="0"/>
        <w:ind w:left="1134" w:right="284"/>
        <w:jc w:val="center"/>
        <w:rPr>
          <w:b/>
          <w:sz w:val="28"/>
          <w:szCs w:val="28"/>
        </w:rPr>
      </w:pPr>
      <w:r w:rsidRPr="00A06E86">
        <w:rPr>
          <w:b/>
          <w:sz w:val="28"/>
          <w:szCs w:val="28"/>
        </w:rPr>
        <w:t>ЗАКОНОПРОЕКТЫ</w:t>
      </w:r>
    </w:p>
    <w:p w:rsidR="00847B4C" w:rsidRDefault="00847B4C" w:rsidP="00EE331A"/>
    <w:p w:rsidR="001F3B32" w:rsidRDefault="001F3B32" w:rsidP="001F3B32">
      <w:pPr>
        <w:pStyle w:val="af"/>
      </w:pPr>
      <w:r>
        <w:t>Планируется внести ряд существенных изменений в правила налогообложения контролируемых иностранных компаний</w:t>
      </w:r>
    </w:p>
    <w:p w:rsidR="001F3B32" w:rsidRDefault="001F3B32" w:rsidP="001F3B32">
      <w:r>
        <w:t>Проектом федерального закона, внесенным на рассмотрение в Госдуму, предусматриваются, в частности, следующие поправки:</w:t>
      </w:r>
    </w:p>
    <w:p w:rsidR="001F3B32" w:rsidRDefault="001F3B32" w:rsidP="001F3B32">
      <w:pPr>
        <w:pStyle w:val="af3"/>
        <w:numPr>
          <w:ilvl w:val="0"/>
          <w:numId w:val="10"/>
        </w:numPr>
      </w:pPr>
      <w:r>
        <w:t>уточнено понятие лица, имеющего фактическое право на доходы;</w:t>
      </w:r>
    </w:p>
    <w:p w:rsidR="001F3B32" w:rsidRDefault="001F3B32" w:rsidP="001F3B32">
      <w:pPr>
        <w:pStyle w:val="af3"/>
        <w:numPr>
          <w:ilvl w:val="0"/>
          <w:numId w:val="10"/>
        </w:numPr>
      </w:pPr>
      <w:r>
        <w:t>обязанности налогоплательщиков (налоговых агентов) распространены на иностранные организации, самостоятельно признавшие себя налоговыми резидентами РФ;</w:t>
      </w:r>
    </w:p>
    <w:p w:rsidR="001F3B32" w:rsidRDefault="001F3B32" w:rsidP="001F3B32">
      <w:pPr>
        <w:pStyle w:val="af3"/>
        <w:numPr>
          <w:ilvl w:val="0"/>
          <w:numId w:val="10"/>
        </w:numPr>
      </w:pPr>
      <w:r>
        <w:t>скорректированы условия освобождения от налогообложения прибыли КИК;</w:t>
      </w:r>
    </w:p>
    <w:p w:rsidR="001F3B32" w:rsidRDefault="001F3B32" w:rsidP="001F3B32">
      <w:pPr>
        <w:pStyle w:val="af3"/>
        <w:numPr>
          <w:ilvl w:val="0"/>
          <w:numId w:val="10"/>
        </w:numPr>
      </w:pPr>
      <w:r>
        <w:t>предусмотрено освобождение от налогообложения в отношении операций по получению имущества в виде вклада от учредителя или лиц, являющихся членами семьи или близкими родственниками;</w:t>
      </w:r>
    </w:p>
    <w:p w:rsidR="001F3B32" w:rsidRDefault="001F3B32" w:rsidP="001F3B32">
      <w:pPr>
        <w:pStyle w:val="af3"/>
        <w:numPr>
          <w:ilvl w:val="0"/>
          <w:numId w:val="10"/>
        </w:numPr>
      </w:pPr>
      <w:r>
        <w:t>урегулированы вопросы налогообложения для иностранных организаций, самостоятельно признавших себя налоговыми резидентами Российской Федерации, а также уточнен порядок признания налоговым резидентом РФ иностранной организации;</w:t>
      </w:r>
    </w:p>
    <w:p w:rsidR="001F3B32" w:rsidRDefault="001F3B32" w:rsidP="001F3B32">
      <w:pPr>
        <w:pStyle w:val="af3"/>
        <w:numPr>
          <w:ilvl w:val="0"/>
          <w:numId w:val="10"/>
        </w:numPr>
      </w:pPr>
      <w:r>
        <w:t>скорректирован порядок определения доли лица в организации;</w:t>
      </w:r>
    </w:p>
    <w:p w:rsidR="001F3B32" w:rsidRDefault="001F3B32" w:rsidP="001F3B32">
      <w:pPr>
        <w:pStyle w:val="af3"/>
        <w:numPr>
          <w:ilvl w:val="0"/>
          <w:numId w:val="10"/>
        </w:numPr>
      </w:pPr>
      <w:r>
        <w:t>прописан порядок налогообложения доходов от операций по реализации ценных бумаг, приобретенных непосредственно у контролируемой иностранной компании, а также ценных бумаг, полученных при ликвидации иностранной организации (прекращении (ликвидации) иностранной структуры без образования юридического лица);</w:t>
      </w:r>
    </w:p>
    <w:p w:rsidR="001F3B32" w:rsidRDefault="001F3B32" w:rsidP="001F3B32">
      <w:pPr>
        <w:pStyle w:val="af3"/>
        <w:numPr>
          <w:ilvl w:val="0"/>
          <w:numId w:val="10"/>
        </w:numPr>
      </w:pPr>
      <w:r>
        <w:t>исключается возможность двойного налогообложения доходов, полученных от иностранной организации;</w:t>
      </w:r>
    </w:p>
    <w:p w:rsidR="001F3B32" w:rsidRDefault="001F3B32" w:rsidP="001F3B32">
      <w:pPr>
        <w:pStyle w:val="af3"/>
        <w:numPr>
          <w:ilvl w:val="0"/>
          <w:numId w:val="10"/>
        </w:numPr>
      </w:pPr>
      <w:r>
        <w:lastRenderedPageBreak/>
        <w:t>продлевается еще на один год освобождение о налогообложения доходов, полученных при ликвидации иностранной организации (прекращении (ликвидации) иностранной структуры без образования юридического лица).</w:t>
      </w:r>
    </w:p>
    <w:p w:rsidR="001F3B32" w:rsidRDefault="001F3B32" w:rsidP="001F3B32">
      <w:pPr>
        <w:pStyle w:val="af1"/>
      </w:pPr>
      <w:r>
        <w:t xml:space="preserve">(Проект Федерального закона N 953192-6 </w:t>
      </w:r>
      <w:r w:rsidR="0036437B">
        <w:t>«</w:t>
      </w:r>
      <w:r>
        <w:t xml:space="preserve">О внесении изменений в части первую и вторую Налогового кодекса Российской Федерации и в Федеральный закон от 24 ноября 2014 года N 376-ФЗ </w:t>
      </w:r>
      <w:r w:rsidR="0036437B">
        <w:t>«</w:t>
      </w:r>
      <w:r>
        <w:t>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r w:rsidR="0036437B">
        <w:t>»</w:t>
      </w:r>
      <w:r>
        <w:t>)</w:t>
      </w:r>
    </w:p>
    <w:p w:rsidR="001F3B32" w:rsidRDefault="001F3B32" w:rsidP="00EE331A"/>
    <w:p w:rsidR="004A63F6" w:rsidRDefault="004A63F6" w:rsidP="004A63F6">
      <w:pPr>
        <w:pStyle w:val="af"/>
      </w:pPr>
      <w:r>
        <w:t>Россия и Китай подпишут новое соглашение об избежании двойного налогообложения</w:t>
      </w:r>
    </w:p>
    <w:p w:rsidR="004A63F6" w:rsidRDefault="004A63F6" w:rsidP="004A63F6">
      <w:r>
        <w:t>В Госдуму на ратификацию поступил новый проект российско-китайского соглашения об избежании двойного налогообложения и о предотвращении уклонения от налогообложения в отношении налогов.</w:t>
      </w:r>
    </w:p>
    <w:p w:rsidR="004A63F6" w:rsidRDefault="004A63F6" w:rsidP="004A63F6">
      <w:r>
        <w:t>Соответствующий законопроект № 954119-6 разработало Правительство РФ.</w:t>
      </w:r>
    </w:p>
    <w:p w:rsidR="004A63F6" w:rsidRDefault="004A63F6" w:rsidP="004A63F6">
      <w:r>
        <w:t>Между Россией и Китаем уже действует аналогичное соглашение от 27 мая 1994 года. Однако углубление двусторонних экономических связей потребовало внесения в документ множества поправок. Ввиду значительного числа предложенных изменений стороны пришли к выводу о целесообразности заключения нового соглашения вместо поправок в действующее.</w:t>
      </w:r>
    </w:p>
    <w:p w:rsidR="004A63F6" w:rsidRDefault="004A63F6" w:rsidP="004A63F6">
      <w:r>
        <w:t>Соглашение предусматривает, что налогообложение доходов от предпринимательской деятельности лица одного государства производится в другом государстве, если такое лицо осуществляет там деятельность через постоянное представительство.</w:t>
      </w:r>
    </w:p>
    <w:p w:rsidR="004A63F6" w:rsidRDefault="004A63F6" w:rsidP="004A63F6">
      <w:r>
        <w:t>Доходы от недвижимого имущества могут облагаться налогами в том государстве, где такое имущество фактически находится.</w:t>
      </w:r>
    </w:p>
    <w:p w:rsidR="004A63F6" w:rsidRDefault="004A63F6" w:rsidP="004A63F6">
      <w:r>
        <w:t>Прибыль, полученная предприятием от эксплуатации морских или воздушных судов в международных перевозках, подлежит налогообложению только государстве, где зарегистрировано предприятие.</w:t>
      </w:r>
    </w:p>
    <w:p w:rsidR="004A63F6" w:rsidRDefault="004A63F6" w:rsidP="004A63F6">
      <w:r>
        <w:t>Дивиденды, выплачиваемые компанией, являющейся резидентом одного государства, резиденту другого государства, могут облагаться налогом в этом другом государстве.</w:t>
      </w:r>
    </w:p>
    <w:p w:rsidR="004A63F6" w:rsidRDefault="004A63F6" w:rsidP="004A63F6">
      <w:r>
        <w:t>Исключительное право на налогообложение процентов предоставлено государству, резидентом которого является получатель процентов. В Правительстве РФ поясняют, что данная мера позволит российским заемщикам снизить затраты по привлечению и обслуживанию кредитов китайских банков.</w:t>
      </w:r>
    </w:p>
    <w:p w:rsidR="004A63F6" w:rsidRDefault="004A63F6" w:rsidP="004A63F6">
      <w:r>
        <w:t>Соглашение также предусматривает, что физическое лицо уплачивает налоги со всех своих доходов в той стране, в которой оно находится свыше 183 дней в течение 12-месячного периода.</w:t>
      </w:r>
    </w:p>
    <w:p w:rsidR="004A63F6" w:rsidRDefault="004A63F6" w:rsidP="004A63F6">
      <w:r>
        <w:t>Исключение сделано для членов экипажей транспортных средств, эксплуатируемых в международных перевозках, артистов, спортсменов, государственных служащих, пенсионеров и студентов.</w:t>
      </w:r>
    </w:p>
    <w:p w:rsidR="004A63F6" w:rsidRDefault="004A63F6" w:rsidP="00EE331A"/>
    <w:p w:rsidR="006C65AC" w:rsidRDefault="006C65AC" w:rsidP="006C65AC">
      <w:pPr>
        <w:pStyle w:val="af"/>
      </w:pPr>
      <w:r>
        <w:t>Выплата из ФСС пособий при банкротстве работодателя и отмена 4а-ФСС прошли 1 чтение</w:t>
      </w:r>
    </w:p>
    <w:p w:rsidR="006C65AC" w:rsidRDefault="006C65AC" w:rsidP="006C65AC">
      <w:r>
        <w:t xml:space="preserve">Госдума приняла в первом чтении законопроект № 922482-6, которым вносятся изменения в федеральный закон </w:t>
      </w:r>
      <w:r w:rsidR="0036437B">
        <w:t>«</w:t>
      </w:r>
      <w:r>
        <w:t>Об обязательном социальном страховании на случай временной нетрудоспособности и в связи с материнством</w:t>
      </w:r>
      <w:r w:rsidR="0036437B">
        <w:t>»</w:t>
      </w:r>
      <w:r>
        <w:t>.</w:t>
      </w:r>
    </w:p>
    <w:p w:rsidR="006C65AC" w:rsidRDefault="006C65AC" w:rsidP="006C65AC">
      <w:r>
        <w:t>Будет признана утратившей силу часть 3 статьи 4.8 данного закона, согласно которой формы отчетов (расчетов), представляемых лицами, добровольно вступившими в правоотношения по обязательному соцстрахованию в соответствии со статьей 4.5 данного закона, а также сроки и порядок их представления утверждаются ФСС по согласованию с Минтрудом. Таким образом, отменят отчет по форме 4а-ФСС.</w:t>
      </w:r>
    </w:p>
    <w:p w:rsidR="006C65AC" w:rsidRDefault="006C65AC" w:rsidP="006C65AC">
      <w:r>
        <w:t xml:space="preserve">Кроме того, часть 4 статьи 13, устанавливающая случаи выплаты пособий по временной нетрудоспособности, по беременности и родам и ежемесячного пособия по уходу за ребенком напрямую из ФСС, дополняется нормой о том, что это будет делаться также в случае, если на день </w:t>
      </w:r>
      <w:r>
        <w:lastRenderedPageBreak/>
        <w:t>обращения застрахованного лица за пособиями в отношении страхователя проводятся процедуры, применяемые в деле о банкротстве.</w:t>
      </w:r>
    </w:p>
    <w:p w:rsidR="006C65AC" w:rsidRDefault="006C65AC" w:rsidP="006C65AC">
      <w:r>
        <w:t xml:space="preserve">Согласно </w:t>
      </w:r>
      <w:r w:rsidR="0036437B">
        <w:t>тексту законопроекта поправки</w:t>
      </w:r>
      <w:r>
        <w:t xml:space="preserve"> должны вступить в силу 1 января 2016 года (если проект успеет пройти все стадии). Если ранее этой даты физлицо обращалось за пособием, а на 1 января 2016 года в отношении страхователя проводятся процедуры банкротства, то пособие также будет выплачиваться из ФСС.</w:t>
      </w:r>
    </w:p>
    <w:p w:rsidR="006C65AC" w:rsidRDefault="006C65AC" w:rsidP="00EE331A"/>
    <w:p w:rsidR="0068422F" w:rsidRDefault="0068422F" w:rsidP="0068422F">
      <w:pPr>
        <w:pStyle w:val="af"/>
      </w:pPr>
      <w:r>
        <w:t>Разрабатываются новые форматы счета-фактуры и документа о передаче товаров, включающего в себя счет-фактуру</w:t>
      </w:r>
    </w:p>
    <w:p w:rsidR="0068422F" w:rsidRDefault="0068422F" w:rsidP="0068422F">
      <w:r>
        <w:t>ФНС России планирует утвердить форматы представления в электронной форме счета-фактуры и документа о передаче (сдаче) товаров (работ, услуг, имущественных прав), включающего в себя счет-фактуру.</w:t>
      </w:r>
    </w:p>
    <w:p w:rsidR="0068422F" w:rsidRDefault="0068422F" w:rsidP="0068422F">
      <w:r>
        <w:t>Предполагается, что новые форматы будут действовать с 1 апреля 2016 г.</w:t>
      </w:r>
    </w:p>
    <w:p w:rsidR="0068422F" w:rsidRDefault="0068422F" w:rsidP="0068422F">
      <w:r>
        <w:t>Проектом приказа предусмотрен переходный период с 01.04.2016 по 31.03.2017, когда возможно будет создавать электронные счета</w:t>
      </w:r>
      <w:r w:rsidR="0036437B">
        <w:t>-</w:t>
      </w:r>
      <w:r>
        <w:t>фактуры как по новому формату, так и по действующему в настоящее время формату, утв. приказом ФНС России от 04.03.2015 № ММВ-7-6/93@. Налоговые органы должны принимать такие счета-фактуры по 31.03.2020.</w:t>
      </w:r>
    </w:p>
    <w:p w:rsidR="0068422F" w:rsidRDefault="0068422F" w:rsidP="00EE331A"/>
    <w:p w:rsidR="006C65AC" w:rsidRDefault="006C65AC" w:rsidP="006C65AC">
      <w:pPr>
        <w:pStyle w:val="af"/>
      </w:pPr>
      <w:r>
        <w:t>Штрафы за неправильное ведение бухучета будут повышены</w:t>
      </w:r>
    </w:p>
    <w:p w:rsidR="006C65AC" w:rsidRDefault="006C65AC" w:rsidP="006C65AC">
      <w:r>
        <w:t>Действующей редакцией статьи 15.11 КоАП РФ за грубое нарушение правил ведения бухгалтерского учета и представления бухгалтерской отчетности - занижение сумм налогов и сборов не менее чем на 10 % из-за искажения данных бухучета, а также искажение бухгалтерской отчетности не менее чем на 10 %, - предусмотрен штраф на должностных лиц 2-3 тыс. рублей.</w:t>
      </w:r>
    </w:p>
    <w:p w:rsidR="006C65AC" w:rsidRDefault="006C65AC" w:rsidP="006C65AC">
      <w:r>
        <w:t>В Госдуме 4 декабря в первом чтении принят Законопроект № 890123-6, которым размеры штрафных санкций предлагается увеличить до 5-10 тыс. рублей.</w:t>
      </w:r>
    </w:p>
    <w:p w:rsidR="006C65AC" w:rsidRDefault="006C65AC" w:rsidP="006C65AC">
      <w:r>
        <w:t>За повторное правонарушение штраф будет составлять 10-20 тыс. рублей. Возможна дисквалификация на срок от 1 до 3 лет.</w:t>
      </w:r>
    </w:p>
    <w:p w:rsidR="006C65AC" w:rsidRDefault="006C65AC" w:rsidP="006C65AC">
      <w:r>
        <w:t>Расширяется перечень случаев грубого нарушения требований к бухучету. Это будет также:</w:t>
      </w:r>
    </w:p>
    <w:p w:rsidR="006C65AC" w:rsidRDefault="006C65AC" w:rsidP="006C65AC">
      <w:pPr>
        <w:pStyle w:val="af3"/>
        <w:numPr>
          <w:ilvl w:val="0"/>
          <w:numId w:val="12"/>
        </w:numPr>
      </w:pPr>
      <w:r>
        <w:t>регистрация мнимого, притворного объекта учета в бухгалтерских регистрах;</w:t>
      </w:r>
    </w:p>
    <w:p w:rsidR="006C65AC" w:rsidRDefault="006C65AC" w:rsidP="006C65AC">
      <w:pPr>
        <w:pStyle w:val="af3"/>
        <w:numPr>
          <w:ilvl w:val="0"/>
          <w:numId w:val="12"/>
        </w:numPr>
      </w:pPr>
      <w:r>
        <w:t>ведение счетов вне применяемых регистров бухучета;</w:t>
      </w:r>
    </w:p>
    <w:p w:rsidR="006C65AC" w:rsidRDefault="006C65AC" w:rsidP="006C65AC">
      <w:pPr>
        <w:pStyle w:val="af3"/>
        <w:numPr>
          <w:ilvl w:val="0"/>
          <w:numId w:val="12"/>
        </w:numPr>
      </w:pPr>
      <w:r>
        <w:t>составление бухгалтерской (финансовой) отчетности не на основе данных регистров бухгалтерского учета;</w:t>
      </w:r>
    </w:p>
    <w:p w:rsidR="006C65AC" w:rsidRDefault="006C65AC" w:rsidP="006C65AC">
      <w:pPr>
        <w:pStyle w:val="af3"/>
        <w:numPr>
          <w:ilvl w:val="0"/>
          <w:numId w:val="12"/>
        </w:numPr>
      </w:pPr>
      <w:r>
        <w:t>отсутствие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течение установленных сроков хранения документов.</w:t>
      </w:r>
    </w:p>
    <w:p w:rsidR="006C65AC" w:rsidRDefault="006C65AC" w:rsidP="00EE331A"/>
    <w:p w:rsidR="00CC6BD0" w:rsidRDefault="00CC6BD0" w:rsidP="00CC6BD0">
      <w:pPr>
        <w:pStyle w:val="af"/>
      </w:pPr>
      <w:r>
        <w:t>Большинство признанных в России МСФО обновят</w:t>
      </w:r>
    </w:p>
    <w:p w:rsidR="0036437B" w:rsidRDefault="00CC6BD0" w:rsidP="00CC6BD0">
      <w:r>
        <w:t xml:space="preserve">Минфин России подготовил приказ о введении в действие на территории России международных стандартов финансовой отчетности (проект Приказа Минфина России </w:t>
      </w:r>
      <w:r w:rsidR="0036437B">
        <w:t>«</w:t>
      </w:r>
      <w:r>
        <w:t>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внесении изменений и признании утратившими силу приказов Министерства финансов Российской Федерации</w:t>
      </w:r>
      <w:r w:rsidR="0036437B">
        <w:t xml:space="preserve">» </w:t>
      </w:r>
      <w:r>
        <w:t>(подготовлен Минфином России 20.11.2015 г.)</w:t>
      </w:r>
      <w:r w:rsidR="0036437B">
        <w:t>.</w:t>
      </w:r>
    </w:p>
    <w:p w:rsidR="00CC6BD0" w:rsidRDefault="00CC6BD0" w:rsidP="00CC6BD0">
      <w:r>
        <w:t>Все 66 стандартов и разъяснений к ним приведены в приложениях к новому акту финансового ведомства. Документ заменит сразу несколько действующих сейчас приказов 2011 - 2014 годов, поскольку часть из утвержденных этими приказами стандартов уже устарела.</w:t>
      </w:r>
    </w:p>
    <w:p w:rsidR="00CC6BD0" w:rsidRDefault="00CC6BD0" w:rsidP="00CC6BD0">
      <w:r>
        <w:t>Напомним, что МСФО в России обязаны применять организации, которые сдают консолидированную финансовую отчетность. Другие же компании могут руководствоваться ими или применять их на свое усмотрение.</w:t>
      </w:r>
    </w:p>
    <w:p w:rsidR="00CC6BD0" w:rsidRPr="00A06E86" w:rsidRDefault="00CC6BD0" w:rsidP="00EE331A"/>
    <w:p w:rsidR="00847B4C" w:rsidRPr="00A06E86" w:rsidRDefault="00847B4C" w:rsidP="005C1638">
      <w:pPr>
        <w:pStyle w:val="ab"/>
        <w:keepNext/>
        <w:spacing w:after="0"/>
        <w:ind w:left="1134" w:right="284"/>
        <w:jc w:val="center"/>
        <w:rPr>
          <w:b/>
          <w:sz w:val="28"/>
          <w:szCs w:val="28"/>
        </w:rPr>
      </w:pPr>
      <w:r w:rsidRPr="00A06E86">
        <w:rPr>
          <w:b/>
          <w:sz w:val="28"/>
          <w:szCs w:val="28"/>
        </w:rPr>
        <w:lastRenderedPageBreak/>
        <w:t>СУДЕБНАЯ ПРАКТИКА</w:t>
      </w:r>
    </w:p>
    <w:p w:rsidR="00847B4C" w:rsidRDefault="00847B4C" w:rsidP="00EE331A"/>
    <w:p w:rsidR="0068422F" w:rsidRDefault="0068422F" w:rsidP="0068422F">
      <w:pPr>
        <w:pStyle w:val="af"/>
      </w:pPr>
      <w:r>
        <w:t>Заказчик вправе заявить вычет НДС по невостребованному в ходе инвестпроекта имуществу</w:t>
      </w:r>
    </w:p>
    <w:p w:rsidR="0068422F" w:rsidRDefault="0068422F" w:rsidP="0068422F">
      <w:r>
        <w:t>Между ООО (заказчиком) и ОАО (инвестором) был заключен договор на реализацию инвестиционных проектов. Результатом договора являлся законченный строительством объект. В ходе реализации проекта часть оборудования оказалась невостребованной, и в августе 2013 года письмом инвестор согласился на передачу оборудования в собственность заказчика при условии возврата средств целевого финансирования.</w:t>
      </w:r>
    </w:p>
    <w:p w:rsidR="0068422F" w:rsidRDefault="0068422F" w:rsidP="0068422F">
      <w:r>
        <w:t>ООО приняло оборудование на учет и заявило вычет в налоговой декларации по НДС за 3 квартал 2013 года.</w:t>
      </w:r>
    </w:p>
    <w:p w:rsidR="0068422F" w:rsidRDefault="0068422F" w:rsidP="0068422F">
      <w:r>
        <w:t>По результатам камеральной проверки ИФНС отказала в вычете, решив, что счета-фактуры, на основании которых заявлен вычет по НДС, не являются счетами-фактурами, предъявленными при приобретении товаров (работ, услуг) для операций, признаваемых объектами налогообложения НДС. По мнению инспекции, этот вычет ООО вправе заявить на основании счетов-фактур, выставленных инвестором, которые в данном случае не представлены.</w:t>
      </w:r>
    </w:p>
    <w:p w:rsidR="0068422F" w:rsidRDefault="0068422F" w:rsidP="0068422F">
      <w:r>
        <w:t xml:space="preserve">Суды трех инстанций признали решение инспекции недействительным, разъяснив, что в данном случае инвестор не получает спорное оборудование автоматически. Инвестор не мог выставить в адрес заказчика счетов-фактур на реализацию оборудования, поскольку не являлся его собственником. Инвестору выставляется счет-фактура в отношении всего </w:t>
      </w:r>
      <w:r w:rsidR="0036437B">
        <w:t>«</w:t>
      </w:r>
      <w:r>
        <w:t>входного</w:t>
      </w:r>
      <w:r w:rsidR="0036437B">
        <w:t>»</w:t>
      </w:r>
      <w:r>
        <w:t xml:space="preserve"> НДС, предъявленного при приобретении товаров (работ, услуг), фактически использованных при строительстве объекта, в периоде завершения такого строительства, а в данном случае оборудование передаче в адрес инвестора не подлежало, следовательно, счета-фактуры ему выставлены быть не могли.</w:t>
      </w:r>
    </w:p>
    <w:p w:rsidR="0068422F" w:rsidRDefault="0068422F" w:rsidP="0068422F">
      <w:r>
        <w:t>Суды также пояснили, что ООО было не вправе применить вычет в периоде приобретения спорного оборудования, поскольку право на вычет НДС, уплаченного в составе цены невостребованного оборудования, возникло у ООО только в 3 квартале 2013 года после получения письма инвестора.</w:t>
      </w:r>
    </w:p>
    <w:p w:rsidR="0068422F" w:rsidRDefault="0068422F" w:rsidP="0068422F">
      <w:r>
        <w:t>Судья ВС (305-КГ15-15804 от 07.12.2015) отказал инспекции в передаче дела в коллегию по экономическим спорам.</w:t>
      </w:r>
    </w:p>
    <w:p w:rsidR="0068422F" w:rsidRDefault="0068422F" w:rsidP="0068422F">
      <w:pPr>
        <w:pStyle w:val="af1"/>
      </w:pPr>
      <w:r>
        <w:t>(дело № А40-182530/2014</w:t>
      </w:r>
      <w:r w:rsidR="006C65AC">
        <w:t xml:space="preserve"> и №</w:t>
      </w:r>
      <w:r>
        <w:t xml:space="preserve"> А40-182139/2014)</w:t>
      </w:r>
    </w:p>
    <w:p w:rsidR="0068422F" w:rsidRPr="0036437B" w:rsidRDefault="0068422F" w:rsidP="00EE331A"/>
    <w:p w:rsidR="004A63F6" w:rsidRPr="004A63F6" w:rsidRDefault="004A63F6" w:rsidP="004A63F6">
      <w:pPr>
        <w:pStyle w:val="af"/>
      </w:pPr>
      <w:r>
        <w:t>Р</w:t>
      </w:r>
      <w:r w:rsidRPr="004A63F6">
        <w:t>еорганизаци</w:t>
      </w:r>
      <w:r>
        <w:t xml:space="preserve">я и </w:t>
      </w:r>
      <w:r w:rsidR="0036437B">
        <w:t>«</w:t>
      </w:r>
      <w:r w:rsidRPr="004A63F6">
        <w:t>переезд</w:t>
      </w:r>
      <w:r w:rsidR="0036437B">
        <w:t>»</w:t>
      </w:r>
      <w:r w:rsidRPr="004A63F6">
        <w:t xml:space="preserve"> помешали оспорить доначисление 100 млн</w:t>
      </w:r>
    </w:p>
    <w:p w:rsidR="004A63F6" w:rsidRPr="004A63F6" w:rsidRDefault="004A63F6" w:rsidP="004A63F6">
      <w:r w:rsidRPr="004A63F6">
        <w:t xml:space="preserve">По результатам выездной налоговой проверки ООО </w:t>
      </w:r>
      <w:r w:rsidR="0036437B">
        <w:t>«</w:t>
      </w:r>
      <w:r w:rsidRPr="004A63F6">
        <w:t>Т</w:t>
      </w:r>
      <w:r w:rsidR="0036437B">
        <w:t>»</w:t>
      </w:r>
      <w:r w:rsidRPr="004A63F6">
        <w:t xml:space="preserve"> инспекция доначислила налоги, пени</w:t>
      </w:r>
      <w:r w:rsidR="0036437B">
        <w:t xml:space="preserve"> </w:t>
      </w:r>
      <w:r w:rsidRPr="004A63F6">
        <w:t xml:space="preserve">и штрафы в сумме 113 млн рублей. УФНС уменьшило доначисления до 98 млн рублей. В ходе проверки ООО </w:t>
      </w:r>
      <w:r w:rsidR="0036437B">
        <w:t>«</w:t>
      </w:r>
      <w:r w:rsidRPr="004A63F6">
        <w:t>Т</w:t>
      </w:r>
      <w:r w:rsidR="0036437B">
        <w:t>»</w:t>
      </w:r>
      <w:r w:rsidRPr="004A63F6">
        <w:t xml:space="preserve"> приняло решение о присоединении к ООО </w:t>
      </w:r>
      <w:r w:rsidR="0036437B">
        <w:t>«</w:t>
      </w:r>
      <w:r w:rsidRPr="004A63F6">
        <w:t>Д</w:t>
      </w:r>
      <w:r w:rsidR="0036437B">
        <w:t>»</w:t>
      </w:r>
      <w:r w:rsidRPr="004A63F6">
        <w:t xml:space="preserve">, которое по юрадресу не находится, договор аренды с собственником помещения не заключало, финансово-хозяйственной деятельности не ведет, налоговую и бухгалтерскую отчетность не представляет. Директором и учредителем ООО </w:t>
      </w:r>
      <w:r w:rsidR="0036437B">
        <w:t>«</w:t>
      </w:r>
      <w:r w:rsidRPr="004A63F6">
        <w:t>Д</w:t>
      </w:r>
      <w:r w:rsidR="0036437B">
        <w:t>»</w:t>
      </w:r>
      <w:r w:rsidRPr="004A63F6">
        <w:t xml:space="preserve"> является лицо, одновременно являющееся учредителем и руководителем еще в 74 фирмах. К моменту окончания реорганизации ООО </w:t>
      </w:r>
      <w:r w:rsidR="0036437B">
        <w:t>«</w:t>
      </w:r>
      <w:r w:rsidRPr="004A63F6">
        <w:t>Д</w:t>
      </w:r>
      <w:r w:rsidR="0036437B">
        <w:t>»</w:t>
      </w:r>
      <w:r w:rsidRPr="004A63F6">
        <w:t xml:space="preserve"> изменило место регистрации. При этом новое место регистрации удалено от места регистрации ООО </w:t>
      </w:r>
      <w:r w:rsidR="0036437B">
        <w:t>«</w:t>
      </w:r>
      <w:r w:rsidRPr="004A63F6">
        <w:t>Т</w:t>
      </w:r>
      <w:r w:rsidR="0036437B">
        <w:t>»</w:t>
      </w:r>
      <w:r w:rsidRPr="004A63F6">
        <w:t xml:space="preserve">, мест нахождения его основных контрагентов, и мест ввоза и таможенного оформления техники, ввозимой ООО </w:t>
      </w:r>
      <w:r w:rsidR="0036437B">
        <w:t>«</w:t>
      </w:r>
      <w:r w:rsidRPr="004A63F6">
        <w:t>Т</w:t>
      </w:r>
      <w:r w:rsidR="0036437B">
        <w:t>»</w:t>
      </w:r>
      <w:r w:rsidRPr="004A63F6">
        <w:t>.</w:t>
      </w:r>
    </w:p>
    <w:p w:rsidR="004A63F6" w:rsidRPr="004A63F6" w:rsidRDefault="004A63F6" w:rsidP="004A63F6">
      <w:r w:rsidRPr="004A63F6">
        <w:t xml:space="preserve">В итоге срок на обращение в суд оказался пропущен. Однако ООО </w:t>
      </w:r>
      <w:r w:rsidR="0036437B">
        <w:t>«</w:t>
      </w:r>
      <w:r w:rsidRPr="004A63F6">
        <w:t>Д</w:t>
      </w:r>
      <w:r w:rsidR="0036437B">
        <w:t>»</w:t>
      </w:r>
      <w:r w:rsidRPr="004A63F6">
        <w:t xml:space="preserve"> (правопреемник ООО </w:t>
      </w:r>
      <w:r w:rsidR="0036437B">
        <w:t>«</w:t>
      </w:r>
      <w:r w:rsidRPr="004A63F6">
        <w:t>Т</w:t>
      </w:r>
      <w:r w:rsidR="0036437B">
        <w:t>»</w:t>
      </w:r>
      <w:r w:rsidRPr="004A63F6">
        <w:t>) ходатайствовало о восстановлении срока, указав, что не располагало информацией о принятом УФНС решении и в течение какого-то времени считало, что решение инспекции полностью отменено по результатам рассмотрения апелляционной жалобы. В подтверждение компания сослалась на реестр почтовой корреспонденции, в котором указано неверное наименование налогоплательщика при направлении ему решения УФНС.</w:t>
      </w:r>
    </w:p>
    <w:p w:rsidR="004A63F6" w:rsidRPr="004A63F6" w:rsidRDefault="004A63F6" w:rsidP="004A63F6">
      <w:r w:rsidRPr="004A63F6">
        <w:t xml:space="preserve">Суды трех инстанций отказали в восстановлении срока, установив, что за время судебного разбирательства ни одно из извещений суда не было вручено ООО </w:t>
      </w:r>
      <w:r w:rsidR="0036437B">
        <w:t>«</w:t>
      </w:r>
      <w:r w:rsidRPr="004A63F6">
        <w:t>Д</w:t>
      </w:r>
      <w:r w:rsidR="0036437B">
        <w:t>»</w:t>
      </w:r>
      <w:r w:rsidRPr="004A63F6">
        <w:t xml:space="preserve"> по месту регистрации, они возвращены органом связи по истечении срока хранения. Суды также отклонили довод о неполучении решения УФНС из-за неверного наименования фирмы (пропущена одна буква) в реестре почтовой корреспонденции. Наличие такой ошибки в реестре не говорит об аналогичной на почтовом конверте. Согласно распечатке с сайта почты почтовое отправление было вручено адресату. К тому же, выяснилось, что компания даже пыталась обжаловать решение УФНС дальше - в ФНС.</w:t>
      </w:r>
    </w:p>
    <w:p w:rsidR="004A63F6" w:rsidRPr="004A63F6" w:rsidRDefault="004A63F6" w:rsidP="004A63F6">
      <w:r w:rsidRPr="004A63F6">
        <w:lastRenderedPageBreak/>
        <w:t xml:space="preserve">Суды отнеслись критически к показаниям бывшего директора ООО </w:t>
      </w:r>
      <w:r w:rsidR="0036437B">
        <w:t>«</w:t>
      </w:r>
      <w:r w:rsidRPr="004A63F6">
        <w:t>Т</w:t>
      </w:r>
      <w:r w:rsidR="0036437B">
        <w:t>»</w:t>
      </w:r>
      <w:r w:rsidRPr="004A63F6">
        <w:t xml:space="preserve">, учитывая его заинтересованность в результатах рассмотрения дела, поскольку он является подозреваемым по уголовному делу, возбужденному по материалам выездной проверки в отношении ООО </w:t>
      </w:r>
      <w:r w:rsidR="0036437B">
        <w:t>«</w:t>
      </w:r>
      <w:r w:rsidRPr="004A63F6">
        <w:t>Т</w:t>
      </w:r>
      <w:r w:rsidR="0036437B">
        <w:t>»</w:t>
      </w:r>
      <w:r w:rsidRPr="004A63F6">
        <w:t>.</w:t>
      </w:r>
    </w:p>
    <w:p w:rsidR="004A63F6" w:rsidRPr="004A63F6" w:rsidRDefault="004A63F6" w:rsidP="004A63F6">
      <w:r w:rsidRPr="004A63F6">
        <w:t>Судья ВС (305-КГ15-15467 от 08.12.2015) отказал компании в передаче дела в коллегию по экономическим спорам.</w:t>
      </w:r>
    </w:p>
    <w:p w:rsidR="004A63F6" w:rsidRDefault="004A63F6" w:rsidP="004A63F6">
      <w:pPr>
        <w:pStyle w:val="af1"/>
      </w:pPr>
      <w:r w:rsidRPr="004A63F6">
        <w:t>(дело А40-161991/2014)</w:t>
      </w:r>
    </w:p>
    <w:p w:rsidR="004A63F6" w:rsidRPr="004A63F6" w:rsidRDefault="004A63F6" w:rsidP="00EE331A"/>
    <w:p w:rsidR="00CC6BD0" w:rsidRDefault="00CC6BD0" w:rsidP="00CC6BD0">
      <w:pPr>
        <w:pStyle w:val="af"/>
      </w:pPr>
      <w:r>
        <w:t>Отсутствие отчета комиссионера - не повод для доначисления налогов от общей выручки</w:t>
      </w:r>
    </w:p>
    <w:p w:rsidR="00CC6BD0" w:rsidRDefault="00CC6BD0" w:rsidP="00CC6BD0">
      <w:r>
        <w:t>ИП занимался розничной торговлей нефтепродуктами по договору комиссии.</w:t>
      </w:r>
      <w:r w:rsidRPr="00CC6BD0">
        <w:t xml:space="preserve"> </w:t>
      </w:r>
      <w:r>
        <w:t>В ходе выездной проверки ИФНС решила, что предприниматель неправомерно не включил в доходы поступившую ему выручку от продажи нефтепродуктов, указав на отсутствие отчетов комиссионера, доначислила налог по УСН, пени и штраф.</w:t>
      </w:r>
    </w:p>
    <w:p w:rsidR="00CC6BD0" w:rsidRDefault="00CC6BD0" w:rsidP="00CC6BD0">
      <w:r>
        <w:t>ИП обратился в суд, поясняя, что получил указанные денежные средства в ходе исполнения обязательств комиссионера по договору с ООО, в связи с чем в доход подлежит включению только сумма комиссионного вознаграждения, факт учета которого в доходе налоговым органом не оспаривается.</w:t>
      </w:r>
    </w:p>
    <w:p w:rsidR="00CC6BD0" w:rsidRDefault="00CC6BD0" w:rsidP="00CC6BD0">
      <w:r>
        <w:t>Суды трех инстанций признали решение инспекции недействительным, исследовав представленные предпринимателем документы: договор комиссии, копии актов приема-передачи топлива на комиссию, копии отчетов о реализации топлива, квитанции к приходно-кассовым ордерам о передаче выручки от реализации бензина ООО. Суды также учли, что предприниматель ежемесячно оплачивал ООО стоимость нефтепродуктов.</w:t>
      </w:r>
    </w:p>
    <w:p w:rsidR="00CC6BD0" w:rsidRDefault="00CC6BD0" w:rsidP="00CC6BD0">
      <w:r>
        <w:t xml:space="preserve">В решении кассации (Ф07-1879/2015 от 08.12.2015) указано: </w:t>
      </w:r>
      <w:r w:rsidR="0036437B">
        <w:t>«</w:t>
      </w:r>
      <w:r>
        <w:t>отсутствие у предпринимателя утвержденных комитентом отчетов комиссионера само по себе не является безусловным доказательством позиции налогового органа, при наличии иных доказательств, свидетельствующих об исполнении сторонами договора комиссии</w:t>
      </w:r>
      <w:r w:rsidR="0036437B">
        <w:t>»</w:t>
      </w:r>
      <w:r>
        <w:t>.</w:t>
      </w:r>
    </w:p>
    <w:p w:rsidR="00CC6BD0" w:rsidRDefault="00CC6BD0" w:rsidP="00CC6BD0">
      <w:pPr>
        <w:pStyle w:val="af1"/>
      </w:pPr>
      <w:r>
        <w:t>(дело № А44-8524/2014)</w:t>
      </w:r>
    </w:p>
    <w:p w:rsidR="00CC6BD0" w:rsidRDefault="00CC6BD0" w:rsidP="00EE331A"/>
    <w:p w:rsidR="0068422F" w:rsidRDefault="0068422F" w:rsidP="0068422F">
      <w:pPr>
        <w:pStyle w:val="af"/>
      </w:pPr>
      <w:r>
        <w:t>Не все выплаты при увольнении можно учесть при налогообложении прибыли</w:t>
      </w:r>
    </w:p>
    <w:p w:rsidR="0068422F" w:rsidRDefault="0068422F" w:rsidP="0068422F">
      <w:r>
        <w:t>Суд пришел к выводу, что денежные компенсации увольняющимся работникам, выплаченные на основании соглашений о расторжении трудовых договоров, не учитываются при налогообложении прибыли (Постановление Арбитражного суда Московского округа от 20 ноября 2015 г. № Ф05-15858/15). Дело в том, что спорные выплаты произведены не за результаты трудовой деятельности и никак с ними не связаны. Такие компенсации не стимулируют работника к продолжению выполнения трудовых обязанностей, а напротив, направлены на их прекращение, что противоречит критериям п. 3 ст. 255 НК РФ.</w:t>
      </w:r>
    </w:p>
    <w:p w:rsidR="0068422F" w:rsidRDefault="0068422F" w:rsidP="0068422F">
      <w:r>
        <w:t>Напомним, что эту позицию ранее сформулировал Президиум ВАС РФ в постановлении от 1 марта 2011 г. № 13018/10. Однако из-за многообразия ситуаций с подобными выплатами, вопрос до сих пор остается спорным.</w:t>
      </w:r>
    </w:p>
    <w:p w:rsidR="0068422F" w:rsidRDefault="0068422F" w:rsidP="0068422F">
      <w:pPr>
        <w:pStyle w:val="af1"/>
      </w:pPr>
      <w:r w:rsidRPr="0036437B">
        <w:t>(</w:t>
      </w:r>
      <w:r>
        <w:t>дело № А40-194080/2014)</w:t>
      </w:r>
    </w:p>
    <w:p w:rsidR="0068422F" w:rsidRDefault="0068422F" w:rsidP="00EE331A"/>
    <w:p w:rsidR="006C65AC" w:rsidRDefault="006C65AC" w:rsidP="006C65AC">
      <w:pPr>
        <w:pStyle w:val="af"/>
      </w:pPr>
      <w:r>
        <w:t>ВС одобрил задвоение налоговой базы у супругов-ИП, применявших налоговую оптимизацию</w:t>
      </w:r>
    </w:p>
    <w:p w:rsidR="006C65AC" w:rsidRDefault="006C65AC" w:rsidP="006C65AC">
      <w:r>
        <w:t>ИП применяла ЕНВД в отношении розничной торговли и УСН по остальным видам деятельности.</w:t>
      </w:r>
    </w:p>
    <w:p w:rsidR="006C65AC" w:rsidRDefault="006C65AC" w:rsidP="006C65AC">
      <w:r>
        <w:t>В ходе выездной проверки ИФНС установила, что для розничной торговли ИП использует площадь совместно с супругом, также ИП, заключив отдельные договоры аренды (на 138 и 148 кв.</w:t>
      </w:r>
      <w:r w:rsidR="0036437B">
        <w:t xml:space="preserve"> </w:t>
      </w:r>
      <w:r>
        <w:t>метров). При этом четкой границы, разделяющей торговую площадь на две части, нет, магазин позиционируется как единое целое, установлена единая система скидок. Вход в торговый зал общий, используется единая ККТ, денежные средства поступали на счет супруги, зарплату работникам выдавала она же.</w:t>
      </w:r>
    </w:p>
    <w:p w:rsidR="006C65AC" w:rsidRDefault="006C65AC" w:rsidP="006C65AC">
      <w:r>
        <w:t>Инспекция решила, что предприниматель превысила лимит площади торгового зала в 150 кв. метров и утратила право на ЕНВД. Инспекция доначислила налог по УСН, пени и штраф.</w:t>
      </w:r>
    </w:p>
    <w:p w:rsidR="006C65AC" w:rsidRDefault="006C65AC" w:rsidP="006C65AC">
      <w:r>
        <w:lastRenderedPageBreak/>
        <w:t>Аналогичные выводы сделаны инспекцией и при выездной проверке супруга, ему доначислены НДФЛ (поскольку в этот период он не применял УСН по другим видам деятельности), пени и штраф. Доначисления обоим ИП произведены с одной и той же налоговой базы.</w:t>
      </w:r>
    </w:p>
    <w:p w:rsidR="006C65AC" w:rsidRDefault="006C65AC" w:rsidP="006C65AC">
      <w:r>
        <w:t>Суды первой, апелляционной инстанций и окружной арбитражный суд признали решение инспекции законным, решив, что разделение площади торгового зала между взаимозависимыми лицами было направлено лишь на дробление бизнеса с целью занижения физического показателя и применения ЕНВД.</w:t>
      </w:r>
    </w:p>
    <w:p w:rsidR="006C65AC" w:rsidRDefault="006C65AC" w:rsidP="006C65AC">
      <w:r>
        <w:t>Судья ВС (304-КГ15-15466 от 08.12.2015 и 304-КГ15-15541 от 11.12.2015) согласился с выводами судов и отказал обоим предпринимателям в передаче дел в коллегию по экономическим спорам.</w:t>
      </w:r>
    </w:p>
    <w:p w:rsidR="006C65AC" w:rsidRDefault="006C65AC" w:rsidP="006C65AC">
      <w:pPr>
        <w:pStyle w:val="af1"/>
      </w:pPr>
      <w:r w:rsidRPr="0036437B">
        <w:t>(</w:t>
      </w:r>
      <w:r>
        <w:t>дело №А03-16728/2014 и №А03-16727/2014)</w:t>
      </w:r>
    </w:p>
    <w:p w:rsidR="006C65AC" w:rsidRDefault="006C65AC" w:rsidP="00EE331A"/>
    <w:p w:rsidR="00CC6BD0" w:rsidRDefault="00CC6BD0" w:rsidP="00CC6BD0">
      <w:pPr>
        <w:pStyle w:val="af"/>
      </w:pPr>
      <w:r>
        <w:t>АС Московского округа не против совмещения УСН и общего режима за период до прекращения ПСН</w:t>
      </w:r>
    </w:p>
    <w:p w:rsidR="00CC6BD0" w:rsidRDefault="00CC6BD0" w:rsidP="00CC6BD0">
      <w:r>
        <w:t>ИП применял УСН с момента постановки на учет в налоговом органе. При этом ИП получил патент на период с февраля по декабрь 2014 года в отношении сдачи в аренду имущества. Последнюю часть стоимости патента предприниматель не уплатил, и инспекция направила ему уведомление об утрате права на ПСН и необходимости уплаты налогов по общей системе налогообложения за период действия патента.</w:t>
      </w:r>
    </w:p>
    <w:p w:rsidR="00CC6BD0" w:rsidRDefault="00CC6BD0" w:rsidP="00CC6BD0">
      <w:r>
        <w:t>Предприниматель обратился в суд с иском о признании за ним права на применение УСН в отношении деятельности, по которой утрачено право на применение ПСН.</w:t>
      </w:r>
    </w:p>
    <w:p w:rsidR="00CC6BD0" w:rsidRDefault="00CC6BD0" w:rsidP="00CC6BD0">
      <w:r>
        <w:t>Суды трех инстанций отказали в удовлетворении требований, указав на пункт 3 части 6 статьи 346.45 НК, в соответствии с которым налогоплательщик считается утратившим право на применение ПСН и перешедшим на ОСН с начала налогового периода, на который ему был выдан патент, в случае, если им не был уплачен налог в установленный срок.</w:t>
      </w:r>
    </w:p>
    <w:p w:rsidR="00CC6BD0" w:rsidRDefault="00CC6BD0" w:rsidP="00CC6BD0">
      <w:r>
        <w:t>По мнению судов (постановление АС Московского округа Ф05-16833/2015 от 04.12.2015), после утраты права на ПСН за время применения ПСН предприниматель должен заплатить налоги по общей системе налогообложения, а с даты снятия с учета в качестве налогоплательщика ПСН он вправе по виду предпринимательской деятельности, в отношении которой применялась ПСН, применять УСН, с которым она совмещалась.</w:t>
      </w:r>
    </w:p>
    <w:p w:rsidR="00CC6BD0" w:rsidRDefault="00CC6BD0" w:rsidP="00CC6BD0">
      <w:r>
        <w:t>Аналогичная позиция содержится в письмах Минфина от 26.12.2014 № 03-11-11/67912 и ФНС от 5 декабря 2014 г. N ГД-4-3/25260.</w:t>
      </w:r>
    </w:p>
    <w:p w:rsidR="00CC6BD0" w:rsidRDefault="00CC6BD0" w:rsidP="00CC6BD0">
      <w:r>
        <w:t>Суды эту позицию чаще не поддерживают (дело А29-2035/2014 - АС Волго-Вятского округа, А45-24682/2014 - АС Западно-Сибирского округа), указывая на невозможность совмещения УСН и общего режима.</w:t>
      </w:r>
    </w:p>
    <w:p w:rsidR="00CC6BD0" w:rsidRDefault="00CC6BD0" w:rsidP="00CC6BD0">
      <w:pPr>
        <w:pStyle w:val="af1"/>
      </w:pPr>
      <w:r>
        <w:t>(дело № А40-21506/2015)</w:t>
      </w:r>
    </w:p>
    <w:p w:rsidR="00CC6BD0" w:rsidRDefault="00CC6BD0" w:rsidP="00EE331A"/>
    <w:p w:rsidR="00847B4C" w:rsidRPr="00A06E86" w:rsidRDefault="00847B4C" w:rsidP="005C1638">
      <w:pPr>
        <w:pStyle w:val="ab"/>
        <w:keepNext/>
        <w:spacing w:after="0"/>
        <w:ind w:left="1134" w:right="284"/>
        <w:jc w:val="center"/>
        <w:rPr>
          <w:b/>
          <w:sz w:val="28"/>
          <w:szCs w:val="28"/>
        </w:rPr>
      </w:pPr>
      <w:r w:rsidRPr="00A06E86">
        <w:rPr>
          <w:b/>
          <w:sz w:val="28"/>
          <w:szCs w:val="28"/>
        </w:rPr>
        <w:t>ПРОЧЕЕ</w:t>
      </w:r>
    </w:p>
    <w:p w:rsidR="001F3B32" w:rsidRDefault="001F3B32" w:rsidP="001F3B32"/>
    <w:p w:rsidR="001F3B32" w:rsidRDefault="001F3B32" w:rsidP="001F3B32">
      <w:pPr>
        <w:pStyle w:val="af"/>
      </w:pPr>
      <w:r>
        <w:t>При представлении в налоговый орган бухгалтерской отчетности на бумажном носителе рекомендуется использовать шаблоны, размещенные на сайте ФНС России и ФГУП ГНИВЦ ФНС России</w:t>
      </w:r>
    </w:p>
    <w:p w:rsidR="001F3B32" w:rsidRDefault="001F3B32" w:rsidP="001F3B32">
      <w:r>
        <w:t>Шаблоны налоговой и бухгалтерской отчетности размещаются на данных сайтах для обеспечения автоматизированного ввода сведений с бумажных носителей, представленных налогоплательщиками в налоговые органы в машиноориентированной форме.</w:t>
      </w:r>
    </w:p>
    <w:p w:rsidR="001F3B32" w:rsidRDefault="001F3B32" w:rsidP="001F3B32">
      <w:r>
        <w:t xml:space="preserve">Налогоплательщики также могут пользоваться возможностью ввода и формирования бухгалтерской отчетности (КНД 0710099) на бумажном носителе с двумерным штрих-кодом PDF417, предоставляемой программой </w:t>
      </w:r>
      <w:r w:rsidR="0036437B">
        <w:t>«</w:t>
      </w:r>
      <w:r>
        <w:t>Налогоплательщик ЮЛ</w:t>
      </w:r>
      <w:r w:rsidR="0036437B">
        <w:t>»</w:t>
      </w:r>
      <w:r>
        <w:t>, размещенной для бесплатного использования по адресу: https://www.nalog.ru/rn77/program/all/nal_ul/.</w:t>
      </w:r>
    </w:p>
    <w:p w:rsidR="001F3B32" w:rsidRDefault="001F3B32" w:rsidP="001F3B32">
      <w:pPr>
        <w:pStyle w:val="af1"/>
      </w:pPr>
      <w:r>
        <w:t xml:space="preserve">(Письмо ФНС России от 09.12.2015 N СД-4-3/21620@ </w:t>
      </w:r>
      <w:r w:rsidR="0036437B">
        <w:t>«</w:t>
      </w:r>
      <w:r>
        <w:t>О порядке и формах представления бухгалтерской отчетности в налоговые органы в бумажном виде</w:t>
      </w:r>
      <w:r w:rsidR="0036437B">
        <w:t>»</w:t>
      </w:r>
      <w:r>
        <w:t>)</w:t>
      </w:r>
    </w:p>
    <w:p w:rsidR="001F3B32" w:rsidRDefault="001F3B32" w:rsidP="001F3B32"/>
    <w:p w:rsidR="00DA6FC0" w:rsidRDefault="00DA6FC0" w:rsidP="00DA6FC0">
      <w:pPr>
        <w:pStyle w:val="af"/>
      </w:pPr>
      <w:r>
        <w:lastRenderedPageBreak/>
        <w:t xml:space="preserve">Налоговые проверки: разъяснения ФНС о представлении </w:t>
      </w:r>
      <w:r w:rsidR="0036437B">
        <w:t>«</w:t>
      </w:r>
      <w:r>
        <w:t>сканов</w:t>
      </w:r>
      <w:r w:rsidR="0036437B">
        <w:t>»</w:t>
      </w:r>
      <w:r>
        <w:t>, о повторном ист</w:t>
      </w:r>
      <w:r w:rsidR="0036437B">
        <w:t>р</w:t>
      </w:r>
      <w:r>
        <w:t>ебовании документов и о продлении срока их подачи</w:t>
      </w:r>
    </w:p>
    <w:p w:rsidR="00DA6FC0" w:rsidRDefault="00DA6FC0" w:rsidP="00DA6FC0">
      <w:r>
        <w:t>Представление документов в электронном виде является наиболее предпочтительным для налоговых органов.</w:t>
      </w:r>
    </w:p>
    <w:p w:rsidR="00DA6FC0" w:rsidRDefault="00DA6FC0" w:rsidP="00DA6FC0">
      <w:r>
        <w:t>Приводятся перечни документов, для которых установлена возможность подачи в xml-формате или в сканированном виде.</w:t>
      </w:r>
    </w:p>
    <w:p w:rsidR="00DA6FC0" w:rsidRDefault="00DA6FC0" w:rsidP="00DA6FC0">
      <w:r>
        <w:t>С налогового периода I квартал 2014 г. декларация по НДС представляется по установленному формату в электронной форме по ТКС, обмен информацией между налогоплательщиком и налоговым органом в большинстве случаев организован по ТКС.</w:t>
      </w:r>
    </w:p>
    <w:p w:rsidR="00DA6FC0" w:rsidRDefault="00DA6FC0" w:rsidP="00DA6FC0">
      <w:r>
        <w:t>В силу НК РФ в ходе проведения налоговой проверки, иных мероприятий налогового контроля налоговые органы не вправе истребовать у проверяемого лица документы, ранее представленные при камеральных или выездных налоговых проверках. Таким образом, действующим законодательством о налогах и сборах не установлено ограничение на повторное истребование у проверяемого лица документов, ранее представленных в налоговые органы в рамках запроса по конкретной сделке вне рамок налоговых проверок.</w:t>
      </w:r>
    </w:p>
    <w:p w:rsidR="00DA6FC0" w:rsidRDefault="00DA6FC0" w:rsidP="00DA6FC0">
      <w:r>
        <w:t>Налоговым органам дано право продлить срок представления документов или отказать в этом. При этом обязанность объяснять или аргументировать свое решение об отказе в продлении срока законодательством не установлена.</w:t>
      </w:r>
    </w:p>
    <w:p w:rsidR="00DA6FC0" w:rsidRDefault="00DA6FC0" w:rsidP="00DA6FC0">
      <w:r>
        <w:t>Вместе с тем при принятии решения об отказе в продлении срока представления документов руководитель (заместитель руководителя) налогового органа учитывает указанные налогоплательщиком причины, по которым документы не могут быть представлены в установленные сроки, объем истребуемых документов, а также другие имеющие значение обстоятельства.</w:t>
      </w:r>
    </w:p>
    <w:p w:rsidR="00DA6FC0" w:rsidRDefault="00DA6FC0" w:rsidP="00DA6FC0">
      <w:pPr>
        <w:pStyle w:val="af1"/>
      </w:pPr>
      <w:r w:rsidRPr="00DA6FC0">
        <w:t>(</w:t>
      </w:r>
      <w:r>
        <w:t xml:space="preserve">Письмо ФНС России от 4 декабря 2015 г. № ЕД-16-2/304 </w:t>
      </w:r>
      <w:r w:rsidR="0036437B">
        <w:t>«</w:t>
      </w:r>
      <w:r>
        <w:t>О проведении анализа практики осуществления налоговых проверок</w:t>
      </w:r>
      <w:r w:rsidR="0036437B">
        <w:t>»</w:t>
      </w:r>
      <w:r>
        <w:t>)</w:t>
      </w:r>
    </w:p>
    <w:p w:rsidR="00DA6FC0" w:rsidRDefault="00DA6FC0" w:rsidP="001F3B32"/>
    <w:p w:rsidR="001F3B32" w:rsidRDefault="001F3B32" w:rsidP="001F3B32">
      <w:pPr>
        <w:pStyle w:val="af"/>
      </w:pPr>
      <w:r>
        <w:t>В случае отказа кредитора от получения законных процентов по денежному обязательству, начисляемых в порядке статьи 317.1 ГК РФ, у организации-должника возникает внереализационный доход</w:t>
      </w:r>
    </w:p>
    <w:p w:rsidR="001F3B32" w:rsidRDefault="001F3B32" w:rsidP="001F3B32">
      <w:r>
        <w:t>Часть первая ГК РФ дополнена статьей 317.1, вступившей в силу с 01.06.2015.</w:t>
      </w:r>
    </w:p>
    <w:p w:rsidR="001F3B32" w:rsidRDefault="001F3B32" w:rsidP="001F3B32">
      <w:r>
        <w:t>Согласно новому правилу, в случае если в договоре, на основании которого возникло денежное обязательство, отсутствует порядок начисления процентов, по такому обязательству у кредитора по умолчанию возникает право требования к должнику в размере законных процентов, установленных данной статьей.</w:t>
      </w:r>
    </w:p>
    <w:p w:rsidR="001F3B32" w:rsidRDefault="001F3B32" w:rsidP="001F3B32">
      <w:r>
        <w:t>Кредитор вправе отказаться от их получения. При этом задолженность организации-должника в виде суммы таких процентов списывается путем прощения долга и подлежит включению им в состав внереализационных доходов.</w:t>
      </w:r>
    </w:p>
    <w:p w:rsidR="001F3B32" w:rsidRDefault="001F3B32" w:rsidP="001F3B32">
      <w:r>
        <w:t>Отмечено при этом, что в случае указания в договоре на неприменение статьи 317.1 ГК РФ ни данные требования, ни доходы (расходы) у организаций не возникают.</w:t>
      </w:r>
    </w:p>
    <w:p w:rsidR="001F3B32" w:rsidRDefault="001F3B32" w:rsidP="001F3B32">
      <w:pPr>
        <w:pStyle w:val="af1"/>
      </w:pPr>
      <w:r>
        <w:t>(Письмо Минфина России от 09.12.2015 N 03-03-РЗ/67486)</w:t>
      </w:r>
    </w:p>
    <w:p w:rsidR="001F3B32" w:rsidRDefault="001F3B32" w:rsidP="00EE331A"/>
    <w:p w:rsidR="008810E7" w:rsidRDefault="008810E7" w:rsidP="008810E7">
      <w:pPr>
        <w:pStyle w:val="af"/>
      </w:pPr>
      <w:r>
        <w:t>Минэкономразвития России представлен расчет средних за истекший налоговый период цен на соответствующие виды углеводородного сырья, добытые на новом морском месторождении, за период с 1 по 30 ноября 2015 года</w:t>
      </w:r>
    </w:p>
    <w:p w:rsidR="008810E7" w:rsidRDefault="008810E7" w:rsidP="008810E7">
      <w:r>
        <w:t>В информации приводятся:</w:t>
      </w:r>
    </w:p>
    <w:p w:rsidR="008810E7" w:rsidRDefault="008810E7" w:rsidP="008810E7">
      <w:pPr>
        <w:pStyle w:val="af3"/>
        <w:numPr>
          <w:ilvl w:val="0"/>
          <w:numId w:val="11"/>
        </w:numPr>
      </w:pPr>
      <w:r>
        <w:t>средние за налоговый период цены на мировых рынках на нефть обезвоженную, обессоленную и стабилизированную;</w:t>
      </w:r>
    </w:p>
    <w:p w:rsidR="008810E7" w:rsidRDefault="008810E7" w:rsidP="008810E7">
      <w:pPr>
        <w:pStyle w:val="af3"/>
        <w:numPr>
          <w:ilvl w:val="0"/>
          <w:numId w:val="11"/>
        </w:numPr>
      </w:pPr>
      <w:r>
        <w:t>средние за налоговый период цены на мировых рынках на газовый конденсат, добытый из всех видов месторождений углеводородного сырья;</w:t>
      </w:r>
    </w:p>
    <w:p w:rsidR="008810E7" w:rsidRDefault="008810E7" w:rsidP="008810E7">
      <w:pPr>
        <w:pStyle w:val="af3"/>
        <w:numPr>
          <w:ilvl w:val="0"/>
          <w:numId w:val="11"/>
        </w:numPr>
      </w:pPr>
      <w:r>
        <w:t>средняя за налоговый период оптовая цена на газ горючий природный при поставках на внутренний рынок;</w:t>
      </w:r>
    </w:p>
    <w:p w:rsidR="008810E7" w:rsidRDefault="008810E7" w:rsidP="008810E7">
      <w:pPr>
        <w:pStyle w:val="af3"/>
        <w:numPr>
          <w:ilvl w:val="0"/>
          <w:numId w:val="11"/>
        </w:numPr>
      </w:pPr>
      <w:r>
        <w:lastRenderedPageBreak/>
        <w:t>средние за налоговый период цены на газ горючий природный при поставках за пределы единой таможенной территории Таможенного союза.</w:t>
      </w:r>
    </w:p>
    <w:p w:rsidR="008810E7" w:rsidRDefault="008810E7" w:rsidP="008810E7">
      <w:pPr>
        <w:pStyle w:val="af1"/>
      </w:pPr>
      <w:r>
        <w:t xml:space="preserve">(Информация Минэкономразвития России от 15.12.2015 </w:t>
      </w:r>
      <w:r w:rsidR="0036437B">
        <w:t>«</w:t>
      </w:r>
      <w:r>
        <w:t>О средних за истекший налоговый период ценах на соответствующие виды углеводородного сырья, добытые на новом морском месторождении углеводородного сырья, на период с 1 по 30 ноября 2015 г.</w:t>
      </w:r>
      <w:r w:rsidR="0036437B">
        <w:t>»</w:t>
      </w:r>
      <w:r>
        <w:t>)</w:t>
      </w:r>
    </w:p>
    <w:p w:rsidR="008810E7" w:rsidRDefault="008810E7" w:rsidP="008810E7"/>
    <w:p w:rsidR="008810E7" w:rsidRDefault="008810E7" w:rsidP="008810E7">
      <w:pPr>
        <w:pStyle w:val="af"/>
      </w:pPr>
      <w:r>
        <w:t>После 1 января 2016 года плата за негативное воздействие на окружающую среду должна быть внесена до 1 марта 2016 года</w:t>
      </w:r>
    </w:p>
    <w:p w:rsidR="008810E7" w:rsidRDefault="008810E7" w:rsidP="008810E7">
      <w:r>
        <w:t xml:space="preserve">Федеральным законом от 21.07.2014 N 219-ФЗ </w:t>
      </w:r>
      <w:r w:rsidR="0036437B">
        <w:t>«</w:t>
      </w:r>
      <w:r>
        <w:t xml:space="preserve">О внесении изменений в Федеральный закон </w:t>
      </w:r>
      <w:r w:rsidR="0036437B">
        <w:t>«</w:t>
      </w:r>
      <w:r>
        <w:t>Об охране окружающей среды</w:t>
      </w:r>
      <w:r w:rsidR="0036437B">
        <w:t>»</w:t>
      </w:r>
      <w:r>
        <w:t xml:space="preserve"> и отдельные законодательные акты Российской Федерации</w:t>
      </w:r>
      <w:r w:rsidR="0036437B">
        <w:t>»</w:t>
      </w:r>
      <w:r>
        <w:t xml:space="preserve"> определено, что плата за негативное воздействие на окружающую среду с 1 января 2016 года вносится не позднее 1 марта года, следующего за отчетным периодом.</w:t>
      </w:r>
    </w:p>
    <w:p w:rsidR="008810E7" w:rsidRDefault="008810E7" w:rsidP="008810E7">
      <w:r>
        <w:t xml:space="preserve">В настоящее время плата за негативное воздействие на окружающую среду вносится в соответствии с приказом Ростехнадзора от 08.06.2006 N 557 </w:t>
      </w:r>
      <w:r w:rsidR="0036437B">
        <w:t>«</w:t>
      </w:r>
      <w:r>
        <w:t>Об установлении сроков уплаты платы за негативное воздействие на окружающую среду</w:t>
      </w:r>
      <w:r w:rsidR="0036437B">
        <w:t>»</w:t>
      </w:r>
      <w:r>
        <w:t xml:space="preserve"> не позднее 20 числа месяца, следующего за отчетным периодом. Отчетным периодом признается календарный квартал.</w:t>
      </w:r>
    </w:p>
    <w:p w:rsidR="008810E7" w:rsidRDefault="008810E7" w:rsidP="008810E7">
      <w:r>
        <w:t xml:space="preserve">Учитывая, что действующими нормативными правовыми актами не предусмотрены переходные положения, определяющие сроки внесения платы за IV квартал 2015 года (до 20.01.2016 с учетом приказа Ростехнадзора от 08.06.2006 N 557 </w:t>
      </w:r>
      <w:r w:rsidR="0036437B">
        <w:t>«</w:t>
      </w:r>
      <w:r>
        <w:t>Об установлении сроков уплаты платы за негативное воздействие на окружающую среду</w:t>
      </w:r>
      <w:r w:rsidR="0036437B">
        <w:t>»</w:t>
      </w:r>
      <w:r>
        <w:t>), то после 1 января 2016 года плата должна быть внесена до 1 марта 2016 года.</w:t>
      </w:r>
    </w:p>
    <w:p w:rsidR="008810E7" w:rsidRDefault="008810E7" w:rsidP="008810E7">
      <w:r>
        <w:t>Росприроднадзор обращает внимание, что в сложившейся ситуации его территориальные органы вправе применить штрафные санкции за невнесение платы после 1 марта 2016 года.</w:t>
      </w:r>
    </w:p>
    <w:p w:rsidR="008810E7" w:rsidRDefault="008810E7" w:rsidP="008810E7">
      <w:pPr>
        <w:pStyle w:val="af1"/>
      </w:pPr>
      <w:r>
        <w:t xml:space="preserve">(Письмо Росприроднадзора от 04.12.2015 N АС-06-01-36/21588 </w:t>
      </w:r>
      <w:r w:rsidR="0036437B">
        <w:t>«</w:t>
      </w:r>
      <w:r>
        <w:t>О сроке внесения платы за негативное воздействие на окружающую среду</w:t>
      </w:r>
      <w:r w:rsidR="0036437B">
        <w:t>»</w:t>
      </w:r>
      <w:r>
        <w:t>)</w:t>
      </w:r>
    </w:p>
    <w:p w:rsidR="008810E7" w:rsidRDefault="008810E7" w:rsidP="008810E7"/>
    <w:p w:rsidR="001F3B32" w:rsidRDefault="001F3B32" w:rsidP="001F3B32">
      <w:pPr>
        <w:pStyle w:val="af"/>
      </w:pPr>
      <w:r>
        <w:t>Минфин России снова разрешил ИП уменьшать исчисленную сумму налога по УСН (ЕНВД) на страховые взносы, уплачиваемые в размере 1 процента от суммы дохода, превышающей 300 000 рублей</w:t>
      </w:r>
    </w:p>
    <w:p w:rsidR="001F3B32" w:rsidRDefault="001F3B32" w:rsidP="001F3B32">
      <w:r>
        <w:t>Уплата индивидуальными предпринимателями страховых взносов в ПФР и ФОМС в фиксированном размере осуществляется в двух вариантах:</w:t>
      </w:r>
    </w:p>
    <w:p w:rsidR="001F3B32" w:rsidRDefault="001F3B32" w:rsidP="001F3B32">
      <w:pPr>
        <w:pStyle w:val="af3"/>
        <w:numPr>
          <w:ilvl w:val="0"/>
          <w:numId w:val="9"/>
        </w:numPr>
      </w:pPr>
      <w:r>
        <w:t>при величине дохода до 300 тысяч рублей - исходя из МРОТ и тарифа страховых взносов в ПФР;</w:t>
      </w:r>
    </w:p>
    <w:p w:rsidR="001F3B32" w:rsidRDefault="001F3B32" w:rsidP="001F3B32">
      <w:pPr>
        <w:pStyle w:val="af3"/>
        <w:numPr>
          <w:ilvl w:val="0"/>
          <w:numId w:val="9"/>
        </w:numPr>
      </w:pPr>
      <w:r>
        <w:t>при величине дохода свыше 300 тысяч рублей - исходя из МРОТ и тарифа страховых взносов, а также, дополнительно, в размере 1 процента от суммы дохода, превышающей указанную величину.</w:t>
      </w:r>
    </w:p>
    <w:p w:rsidR="001F3B32" w:rsidRDefault="001F3B32" w:rsidP="001F3B32">
      <w:r>
        <w:t xml:space="preserve">Ранее в Письме Минфина России от 06.10.2015 N 03-11-09/57011 (с учетом позиции Минтруда России) содержался вывод о том, что второй вариант уплаты страховых взносов не соответствует понятию </w:t>
      </w:r>
      <w:r w:rsidR="0036437B">
        <w:t>«</w:t>
      </w:r>
      <w:r>
        <w:t>фиксированного размера</w:t>
      </w:r>
      <w:r w:rsidR="0036437B">
        <w:t>»</w:t>
      </w:r>
      <w:r>
        <w:t>. В связи с чем сообщалось о неправомерности уменьшения налога, исчисленного при применении УСН или ЕНВД, на указанные суммы страховых взносов.</w:t>
      </w:r>
    </w:p>
    <w:p w:rsidR="001F3B32" w:rsidRDefault="001F3B32" w:rsidP="001F3B32">
      <w:r>
        <w:t xml:space="preserve">Теперь указанное письмо отзывается и сообщается, что все суммы страховых взносов, включая исчисленные в размере 1 процента от суммы дохода ИП, превышающего 300 тысяч рублей, составляют </w:t>
      </w:r>
      <w:r w:rsidR="0036437B">
        <w:t>«</w:t>
      </w:r>
      <w:r>
        <w:t>фиксированный платеж</w:t>
      </w:r>
      <w:r w:rsidR="0036437B">
        <w:t>»</w:t>
      </w:r>
      <w:r>
        <w:t xml:space="preserve"> и уменьшают сумму единого налога по УСН (ЕНВД).</w:t>
      </w:r>
    </w:p>
    <w:p w:rsidR="001F3B32" w:rsidRDefault="001F3B32" w:rsidP="001F3B32">
      <w:pPr>
        <w:pStyle w:val="af1"/>
      </w:pPr>
      <w:r>
        <w:t xml:space="preserve">(Письмо ФНС России от 11.12.2015 N СД-4-3/21793@ </w:t>
      </w:r>
      <w:r w:rsidR="0036437B">
        <w:t>«</w:t>
      </w:r>
      <w:r>
        <w:t>О направлении письма Минфина России от 07.12.2015 N 03-11-09/71357</w:t>
      </w:r>
      <w:r w:rsidR="0036437B">
        <w:t>»</w:t>
      </w:r>
      <w:r>
        <w:t>)</w:t>
      </w:r>
    </w:p>
    <w:p w:rsidR="001F3B32" w:rsidRDefault="001F3B32" w:rsidP="00EE331A"/>
    <w:p w:rsidR="001F3B32" w:rsidRDefault="001F3B32" w:rsidP="001F3B32">
      <w:pPr>
        <w:pStyle w:val="af"/>
      </w:pPr>
      <w:r>
        <w:t>Если ИП - плательщик торгового сбора в середине квартала переходит на применение ПСН, то он уплачивает сумму торгового сбора за текущий квартал, а также соответствующую стоимость патента</w:t>
      </w:r>
    </w:p>
    <w:p w:rsidR="001F3B32" w:rsidRDefault="001F3B32" w:rsidP="001F3B32">
      <w:r>
        <w:t>Индивидуальные предприниматели, применяющие ПСН, освобождаются от уплаты торгового сбора в отношении соответствующих видов предпринимательской деятельности.</w:t>
      </w:r>
    </w:p>
    <w:p w:rsidR="001F3B32" w:rsidRDefault="001F3B32" w:rsidP="001F3B32">
      <w:r>
        <w:lastRenderedPageBreak/>
        <w:t xml:space="preserve">То есть при переходе на применение ПСН на ИП возлагается обязанность по представлению соответствующего уведомления в налоговый орган (по форме N ТС-2 </w:t>
      </w:r>
      <w:r w:rsidR="0036437B">
        <w:t>«</w:t>
      </w:r>
      <w:r>
        <w:t>Уведомление о снятии с учета...</w:t>
      </w:r>
      <w:r w:rsidR="0036437B">
        <w:t>»</w:t>
      </w:r>
      <w:r>
        <w:t>, утвержденной Приказом ФНС России от 22.06.2015 N ММВ-7-14/249@).</w:t>
      </w:r>
    </w:p>
    <w:p w:rsidR="001F3B32" w:rsidRDefault="001F3B32" w:rsidP="001F3B32">
      <w:r>
        <w:t xml:space="preserve">В случае перехода на ПСН по одному из нескольких объектов осуществления торговли, в отношении которых уплачивается торговый сбор, ИП должен представить в налоговый орган уведомление по форме N ТС-1 </w:t>
      </w:r>
      <w:r w:rsidR="0036437B">
        <w:t>«</w:t>
      </w:r>
      <w:r>
        <w:t>Уведомление о постановке на учет...</w:t>
      </w:r>
      <w:r w:rsidR="0036437B">
        <w:t>»</w:t>
      </w:r>
      <w:r>
        <w:t xml:space="preserve"> (утвержденное указанным выше Приказом ФНС) по соответствующему объекту торговли, в котором в качестве причины подачи указанного уведомления следует проставить цифру </w:t>
      </w:r>
      <w:r w:rsidR="0036437B">
        <w:t>«</w:t>
      </w:r>
      <w:r>
        <w:t>3</w:t>
      </w:r>
      <w:r w:rsidR="0036437B">
        <w:t>»</w:t>
      </w:r>
      <w:r>
        <w:t xml:space="preserve"> - прекращение объекта обложения сбором.</w:t>
      </w:r>
    </w:p>
    <w:p w:rsidR="001F3B32" w:rsidRDefault="001F3B32" w:rsidP="001F3B32">
      <w:pPr>
        <w:pStyle w:val="af1"/>
      </w:pPr>
      <w:r>
        <w:t xml:space="preserve">(Письмо ФНС России от 08.12.2015 N СД-4-3/21499@ </w:t>
      </w:r>
      <w:r w:rsidR="0036437B">
        <w:t>«</w:t>
      </w:r>
      <w:r>
        <w:t>О направлении письма Минфина России от 20.11.2015 N 03-11-09/67622</w:t>
      </w:r>
      <w:r w:rsidR="0036437B">
        <w:t>»</w:t>
      </w:r>
      <w:r>
        <w:t>)</w:t>
      </w:r>
    </w:p>
    <w:p w:rsidR="001F3B32" w:rsidRDefault="001F3B32" w:rsidP="00EE331A"/>
    <w:p w:rsidR="001F3B32" w:rsidRDefault="001F3B32" w:rsidP="001F3B32">
      <w:pPr>
        <w:pStyle w:val="af"/>
      </w:pPr>
      <w:r>
        <w:t>ФНС России рекомендована форма заявления о подтверждении права налогоплательщика на получение социальных налоговых вычетов по расходам на образование и лечение</w:t>
      </w:r>
    </w:p>
    <w:p w:rsidR="001F3B32" w:rsidRDefault="001F3B32" w:rsidP="001F3B32">
      <w:r>
        <w:t>С 1 января 2016 года вступают в силу изменения в НК РФ, предоставляющие возможность получения указанных налоговых вычетов до окончания налогового периода при обращении с письменным заявлением к работодателю. Вычет предоставляется при условии подтверждения права налогоплательщика на получение социальных налоговых вычетов, выданного налоговым органом.</w:t>
      </w:r>
    </w:p>
    <w:p w:rsidR="001F3B32" w:rsidRDefault="001F3B32" w:rsidP="001F3B32">
      <w:r>
        <w:t>ФНС России разработана рекомендуемая форма заявления, направляемого физлицом в налоговый орган.</w:t>
      </w:r>
    </w:p>
    <w:p w:rsidR="001F3B32" w:rsidRDefault="001F3B32" w:rsidP="001F3B32">
      <w:r>
        <w:t>Напомним также, что Приказом ФНС России от 27.10.2015 N ММВ-7-11/473@ утверждена форма уведомления о подтверждении права налогоплательщика на социальные налоговые вычеты.</w:t>
      </w:r>
    </w:p>
    <w:p w:rsidR="001F3B32" w:rsidRDefault="001F3B32" w:rsidP="001F3B32">
      <w:pPr>
        <w:pStyle w:val="af1"/>
      </w:pPr>
      <w:r>
        <w:t xml:space="preserve">(Письмо ФНС России от 07.12.2015 N ЗН-4-11/21381@ </w:t>
      </w:r>
      <w:r w:rsidR="0036437B">
        <w:t>«</w:t>
      </w:r>
      <w:r>
        <w:t>О рекомендуемой форме заявления</w:t>
      </w:r>
      <w:r w:rsidR="0036437B">
        <w:t>»</w:t>
      </w:r>
      <w:r>
        <w:t>)</w:t>
      </w:r>
    </w:p>
    <w:p w:rsidR="001F3B32" w:rsidRDefault="001F3B32" w:rsidP="001F3B32"/>
    <w:p w:rsidR="001F3B32" w:rsidRDefault="001F3B32" w:rsidP="001F3B32">
      <w:pPr>
        <w:pStyle w:val="af"/>
      </w:pPr>
      <w:r>
        <w:t>Приказ с изменениями в форму налоговой декларации 3-НДФЛ находится на регистрации в Минюсте России</w:t>
      </w:r>
    </w:p>
    <w:p w:rsidR="001F3B32" w:rsidRDefault="001F3B32" w:rsidP="001F3B32">
      <w:r>
        <w:t>Форма налоговой декларации по налогу на доходы физических лиц (форма 3-НДФЛ) с учетом изменений (предусмотренных Приказом ФНС России от 27.11.2015 N ММВ-7-11/544@), предназначена для заполнения отчета по доходам, полученным в 2015 году.</w:t>
      </w:r>
    </w:p>
    <w:p w:rsidR="001F3B32" w:rsidRDefault="001F3B32" w:rsidP="001F3B32">
      <w:pPr>
        <w:pStyle w:val="af1"/>
      </w:pPr>
      <w:r>
        <w:t xml:space="preserve">(Письмо ФНС России от 09.12.2015 N БС-4-11/21540@ </w:t>
      </w:r>
      <w:r w:rsidR="0036437B">
        <w:t>«</w:t>
      </w:r>
      <w:r>
        <w:t>О проведении подготовительных мероприятий по изготовлению бланков деклараций по налогу на доходы физических лиц</w:t>
      </w:r>
      <w:r w:rsidR="0036437B">
        <w:t>»</w:t>
      </w:r>
      <w:r>
        <w:t>)</w:t>
      </w:r>
    </w:p>
    <w:p w:rsidR="001F3B32" w:rsidRDefault="001F3B32" w:rsidP="001F3B32"/>
    <w:p w:rsidR="006C65AC" w:rsidRDefault="006C65AC" w:rsidP="006C65AC">
      <w:pPr>
        <w:pStyle w:val="af"/>
      </w:pPr>
      <w:r>
        <w:t>Нотариусы и адвокаты будут сдавать 6-НДФЛ, как все налоговые агенты</w:t>
      </w:r>
    </w:p>
    <w:p w:rsidR="006C65AC" w:rsidRDefault="006C65AC" w:rsidP="006C65AC">
      <w:r>
        <w:t>ФНС России выпустило письмо с разъяснениями о том, по какой форме</w:t>
      </w:r>
      <w:r w:rsidR="0036437B">
        <w:t xml:space="preserve"> </w:t>
      </w:r>
      <w:r>
        <w:t>должны отчитываться нотариусы, занимающиеся частной практикой и адвокаты, учредившие адвокатские кабинеты, по НДФЛ.</w:t>
      </w:r>
    </w:p>
    <w:p w:rsidR="006C65AC" w:rsidRDefault="006C65AC" w:rsidP="006C65AC">
      <w:r>
        <w:t>Так, в случае, если они в соответствии со ст. 226 НК РФ признаются налоговыми агентами, то есть начисляют зарплату и иные выплаты своим работникам, то, начиная с 1 квартала 2016 года они обязаны будут ежеквартально представлять в налоговые органы по месту своего учета расчет по форме 6-НДФЛ. Ведь в соответствии с новыми положениями, вступающими в силу с 1 января 2016 года, налоговые агенты должны отчитываться о доходах налогоплательщика за первый квартал, полугодие, девять месяцев и год. Сроки сдачи отчетности - не позднее последнего дня месяца, следующего за соответствующим периодом. В отношении года этот срок увеличивается до 1 апреля года, следующего за истекшим (абз. 3 п. 2 ст. 230 НК РФ).</w:t>
      </w:r>
    </w:p>
    <w:p w:rsidR="006C65AC" w:rsidRDefault="006C65AC" w:rsidP="006C65AC">
      <w:r>
        <w:t>Что касается 2015 года, то как пояснило финансовое ведомство, расчет по форме 6-НДФЛ подавать не нужно.</w:t>
      </w:r>
    </w:p>
    <w:p w:rsidR="006C65AC" w:rsidRDefault="006C65AC" w:rsidP="006C65AC">
      <w:pPr>
        <w:pStyle w:val="af1"/>
      </w:pPr>
      <w:r>
        <w:t>(Письмо ФНС России от 3 декабря 2015 г. № БС-3-11/4605@)</w:t>
      </w:r>
    </w:p>
    <w:p w:rsidR="006D089C" w:rsidRDefault="006D089C" w:rsidP="006D089C"/>
    <w:p w:rsidR="001F3B32" w:rsidRDefault="001F3B32" w:rsidP="001F3B32">
      <w:pPr>
        <w:pStyle w:val="af"/>
      </w:pPr>
      <w:r>
        <w:t>Разъяснен порядок предоставления налоговых вычетов крымчанам при обращении к работодателям</w:t>
      </w:r>
    </w:p>
    <w:p w:rsidR="001F3B32" w:rsidRDefault="001F3B32" w:rsidP="001F3B32">
      <w:r>
        <w:lastRenderedPageBreak/>
        <w:t>Сообщается, что обратиться к налоговому агенту (работодателю), осуществляющему деятельность на территории Крыма, за получением стандартных, социальных и имущественных налоговых вычетов в соответствии с Налоговым кодексом РФ возможно с месяца внесения о нем сведений в ЕГРЮЛ.</w:t>
      </w:r>
    </w:p>
    <w:p w:rsidR="001F3B32" w:rsidRDefault="001F3B32" w:rsidP="001F3B32">
      <w:r>
        <w:t>При этом обращено внимание на то, что налоговые вычеты могут быть предоставлены только в отношении доходов, облагаемых НДФЛ по ставке 13 процентов, и при условии получения налогоплательщиком дохода, а также возникновения у него права на вычет после 18.03.2014.</w:t>
      </w:r>
    </w:p>
    <w:p w:rsidR="001F3B32" w:rsidRDefault="001F3B32" w:rsidP="001F3B32">
      <w:r>
        <w:t>В отношении доходов, полученных до этой даты, а также от организаций, не упомянутых в п. 21 Положения об особенностях применения законодательства о налогах и сборах на территории Республики Крым в переходный период (Постановление от 11.04.2014 N 2010-6/14), налоговые вычеты не применяются.</w:t>
      </w:r>
    </w:p>
    <w:p w:rsidR="001F3B32" w:rsidRDefault="001F3B32" w:rsidP="001F3B32">
      <w:pPr>
        <w:pStyle w:val="af1"/>
      </w:pPr>
      <w:r>
        <w:t xml:space="preserve">(Письмо ФНС России от 10.12.2015 N БС-4-11/21710@ </w:t>
      </w:r>
      <w:r w:rsidR="0036437B">
        <w:t>«</w:t>
      </w:r>
      <w:r>
        <w:t>О получении налоговых вычетов физическими лицами, проживающими в Республике Крым и городе Севастополе</w:t>
      </w:r>
      <w:r w:rsidR="0036437B">
        <w:t>»</w:t>
      </w:r>
      <w:r>
        <w:t>)</w:t>
      </w:r>
    </w:p>
    <w:p w:rsidR="001F3B32" w:rsidRDefault="001F3B32" w:rsidP="001F3B32"/>
    <w:p w:rsidR="001F3B32" w:rsidRDefault="001F3B32" w:rsidP="001F3B32">
      <w:pPr>
        <w:pStyle w:val="af"/>
      </w:pPr>
      <w:r>
        <w:t>Начиная с 28 марта 2016 года для физических лиц указание ИНН в распоряжении о переводе денежных средств будет являться обязательным, при отсутствии у них уникального идентификатора начисления (УИН)</w:t>
      </w:r>
    </w:p>
    <w:p w:rsidR="001F3B32" w:rsidRDefault="001F3B32" w:rsidP="001F3B32">
      <w:r>
        <w:t>ФНС России напоминает о Приказе Минфина России от 23.09.2015 N 148н, которым вносятся изменения в Правила указания информации в реквизитах распоряжений о переводе денежных средств в уплату платежей в бюджетную систему Российской Федерации.</w:t>
      </w:r>
    </w:p>
    <w:p w:rsidR="001F3B32" w:rsidRDefault="001F3B32" w:rsidP="001F3B32">
      <w:r>
        <w:t>Изменения касаются, в частности, порядка указания информации, идентифицирующей плательщика и платеж при формировании распоряжения на перечисление платежей, администрируемых налоговыми органами.</w:t>
      </w:r>
    </w:p>
    <w:p w:rsidR="001F3B32" w:rsidRDefault="001F3B32" w:rsidP="001F3B32">
      <w:pPr>
        <w:pStyle w:val="af1"/>
      </w:pPr>
      <w:r>
        <w:t xml:space="preserve">(Письмо ФНС России от 09.12.2015 N ЗН-4-1/21600@ </w:t>
      </w:r>
      <w:r w:rsidR="0036437B">
        <w:t>«</w:t>
      </w:r>
      <w:r>
        <w:t>О направлении приказа Минфина России</w:t>
      </w:r>
      <w:r w:rsidR="0036437B">
        <w:t>»</w:t>
      </w:r>
      <w:r>
        <w:t>)</w:t>
      </w:r>
    </w:p>
    <w:p w:rsidR="001F3B32" w:rsidRDefault="001F3B32" w:rsidP="001F3B32"/>
    <w:p w:rsidR="0084506C" w:rsidRDefault="0084506C" w:rsidP="0084506C">
      <w:pPr>
        <w:pStyle w:val="af"/>
      </w:pPr>
      <w:r>
        <w:t>С 4 декабря 2015 года налоговые органы временно не предоставляют ответы на запросы о предоставлении справок о состоянии расчетов по налогам, пеням и штрафам</w:t>
      </w:r>
    </w:p>
    <w:p w:rsidR="0084506C" w:rsidRDefault="0084506C" w:rsidP="0084506C">
      <w:r>
        <w:t>Также не предоставляются ответы на запросы актов совместной сверки расчетов по налогам, сборам, пеням и штрафам в части имущественных налогов физических лиц (налог на имущество, налог на землю, транспортный налог физических лиц).</w:t>
      </w:r>
    </w:p>
    <w:p w:rsidR="0084506C" w:rsidRDefault="0084506C" w:rsidP="0084506C">
      <w:r>
        <w:t xml:space="preserve">Данные обстоятельства связаны с началом переходного периода, во время которого осуществляется ввод в промышленную эксплуатацию функционального блока N 2 АИС </w:t>
      </w:r>
      <w:r w:rsidR="0036437B">
        <w:t>«</w:t>
      </w:r>
      <w:r>
        <w:t>Налог-3</w:t>
      </w:r>
      <w:r w:rsidR="0036437B">
        <w:t>»</w:t>
      </w:r>
      <w:r>
        <w:t>.</w:t>
      </w:r>
    </w:p>
    <w:p w:rsidR="0084506C" w:rsidRDefault="0084506C" w:rsidP="0084506C">
      <w:r>
        <w:t>При этом налогоплательщику предложено два варианта предоставления документов:</w:t>
      </w:r>
    </w:p>
    <w:p w:rsidR="0084506C" w:rsidRDefault="0084506C" w:rsidP="001F3B32">
      <w:pPr>
        <w:pStyle w:val="af3"/>
        <w:numPr>
          <w:ilvl w:val="0"/>
          <w:numId w:val="8"/>
        </w:numPr>
      </w:pPr>
      <w:r>
        <w:t>запрос, в котором указана дата формирования документов, находящаяся в переходном периоде, будет обработан с задержкой и результат будет направлен налогоплательщику после завершения переходного периода по почте в январе 2016 года;</w:t>
      </w:r>
    </w:p>
    <w:p w:rsidR="0084506C" w:rsidRDefault="0084506C" w:rsidP="001F3B32">
      <w:pPr>
        <w:pStyle w:val="af3"/>
        <w:numPr>
          <w:ilvl w:val="0"/>
          <w:numId w:val="8"/>
        </w:numPr>
      </w:pPr>
      <w:r>
        <w:t>налогоплательщику будет предложено изменить указанную в запросе дату формирования документов на дату последней конвертации данных; при этом запрашиваемый документ будет предоставлен в установленные сроки.</w:t>
      </w:r>
    </w:p>
    <w:p w:rsidR="0084506C" w:rsidRDefault="0084506C" w:rsidP="0084506C">
      <w:r>
        <w:t xml:space="preserve">Кроме того, на время проведения переходного периода пользователям </w:t>
      </w:r>
      <w:r w:rsidR="0036437B">
        <w:t>«</w:t>
      </w:r>
      <w:r>
        <w:t>Личных кабинетов налогоплательщика</w:t>
      </w:r>
      <w:r w:rsidR="0036437B">
        <w:t>»</w:t>
      </w:r>
      <w:r>
        <w:t xml:space="preserve"> для физических лиц и индивидуальных предпринимателей не будут доступны гиперссылки: </w:t>
      </w:r>
      <w:r w:rsidR="0036437B">
        <w:t>«</w:t>
      </w:r>
      <w:r>
        <w:t>Запрос справки о состоянии расчетов</w:t>
      </w:r>
      <w:r w:rsidR="0036437B">
        <w:t>»</w:t>
      </w:r>
      <w:r>
        <w:t xml:space="preserve">, </w:t>
      </w:r>
      <w:r w:rsidR="0036437B">
        <w:t>«</w:t>
      </w:r>
      <w:r>
        <w:t>Запрос акта совместной сверки</w:t>
      </w:r>
      <w:r w:rsidR="0036437B">
        <w:t>»</w:t>
      </w:r>
      <w:r>
        <w:t xml:space="preserve"> (вкладка </w:t>
      </w:r>
      <w:r w:rsidR="0036437B">
        <w:t>«</w:t>
      </w:r>
      <w:r>
        <w:t>Получить справку</w:t>
      </w:r>
      <w:r w:rsidR="0036437B">
        <w:t>»</w:t>
      </w:r>
      <w:r>
        <w:t xml:space="preserve"> в разделе </w:t>
      </w:r>
      <w:r w:rsidR="0036437B">
        <w:t>«</w:t>
      </w:r>
      <w:r>
        <w:t>Документы налогоплательщика</w:t>
      </w:r>
      <w:r w:rsidR="0036437B">
        <w:t>»</w:t>
      </w:r>
      <w:r>
        <w:t>).</w:t>
      </w:r>
    </w:p>
    <w:p w:rsidR="0084506C" w:rsidRDefault="0084506C" w:rsidP="0084506C">
      <w:r>
        <w:t>О возобновлении работы в полнофункциональном режиме будет сообщено дополнительно в течение декабря 2015 года.</w:t>
      </w:r>
    </w:p>
    <w:p w:rsidR="0084506C" w:rsidRDefault="0084506C" w:rsidP="008B41DB">
      <w:pPr>
        <w:pStyle w:val="af1"/>
      </w:pPr>
      <w:r w:rsidRPr="0084506C">
        <w:t>(</w:t>
      </w:r>
      <w:r>
        <w:t>Письмо ФНС России от 30.10.2015 N ОА-4-17/20810</w:t>
      </w:r>
      <w:r w:rsidRPr="0084506C">
        <w:t xml:space="preserve"> </w:t>
      </w:r>
      <w:r w:rsidR="0036437B">
        <w:t>«</w:t>
      </w:r>
      <w:r>
        <w:t xml:space="preserve">О координации работ по переходу на программное обеспечение АИС </w:t>
      </w:r>
      <w:r w:rsidR="0036437B">
        <w:t>«</w:t>
      </w:r>
      <w:r>
        <w:t>Налог-3</w:t>
      </w:r>
      <w:r w:rsidR="0036437B">
        <w:t>»</w:t>
      </w:r>
      <w:r w:rsidR="008B41DB">
        <w:t>)</w:t>
      </w:r>
    </w:p>
    <w:p w:rsidR="0084506C" w:rsidRDefault="0084506C" w:rsidP="0084506C"/>
    <w:p w:rsidR="00847B4C" w:rsidRPr="00A06E86" w:rsidRDefault="00847B4C" w:rsidP="00EE331A"/>
    <w:p w:rsidR="00847B4C" w:rsidRPr="00A06E86" w:rsidRDefault="00847B4C" w:rsidP="00EE331A"/>
    <w:p w:rsidR="00847B4C" w:rsidRPr="00A06E86" w:rsidRDefault="00847B4C" w:rsidP="00A06E86">
      <w:pPr>
        <w:pStyle w:val="af1"/>
        <w:pBdr>
          <w:top w:val="single" w:sz="4" w:space="1" w:color="auto"/>
        </w:pBdr>
      </w:pPr>
      <w:r w:rsidRPr="00A06E86">
        <w:lastRenderedPageBreak/>
        <w:t xml:space="preserve">При подготовке настоящей рассылки использованы материалы компании </w:t>
      </w:r>
      <w:r w:rsidR="0036437B">
        <w:t>«</w:t>
      </w:r>
      <w:r w:rsidRPr="00A06E86">
        <w:t>Консультант Плюс</w:t>
      </w:r>
      <w:r w:rsidR="0036437B">
        <w:t>»</w:t>
      </w:r>
      <w:r w:rsidRPr="00A06E86">
        <w:t xml:space="preserve">, интернет-сайтов www.klerk.ru, www.audit-it.ru, taxhelp.ru, рассылки subscribe. Настоящая работа не представляет собой консультацию или совет. ООО </w:t>
      </w:r>
      <w:r w:rsidR="0036437B">
        <w:t>«</w:t>
      </w:r>
      <w:r w:rsidRPr="00A06E86">
        <w:t>ФинЭкспертиза</w:t>
      </w:r>
      <w:r w:rsidR="0036437B">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w:t>
      </w:r>
      <w:bookmarkStart w:id="0" w:name="_GoBack"/>
      <w:bookmarkEnd w:id="0"/>
      <w:r w:rsidRPr="00A06E86">
        <w:t>результаты использования этого материала.</w:t>
      </w:r>
    </w:p>
    <w:sectPr w:rsidR="00847B4C" w:rsidRPr="00A06E86"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32A" w:rsidRDefault="0021732A" w:rsidP="00DC4B3C">
      <w:pPr>
        <w:spacing w:after="0"/>
      </w:pPr>
      <w:r>
        <w:separator/>
      </w:r>
    </w:p>
  </w:endnote>
  <w:endnote w:type="continuationSeparator" w:id="0">
    <w:p w:rsidR="0021732A" w:rsidRDefault="0021732A" w:rsidP="00DC4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32A" w:rsidRDefault="0021732A" w:rsidP="00DC4B3C">
      <w:pPr>
        <w:spacing w:after="0"/>
      </w:pPr>
      <w:r>
        <w:separator/>
      </w:r>
    </w:p>
  </w:footnote>
  <w:footnote w:type="continuationSeparator" w:id="0">
    <w:p w:rsidR="0021732A" w:rsidRDefault="0021732A" w:rsidP="00DC4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53C"/>
    <w:multiLevelType w:val="hybridMultilevel"/>
    <w:tmpl w:val="0A7EED38"/>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0D885174"/>
    <w:multiLevelType w:val="hybridMultilevel"/>
    <w:tmpl w:val="11AAFB9A"/>
    <w:lvl w:ilvl="0" w:tplc="D28E1690">
      <w:start w:val="1"/>
      <w:numFmt w:val="bullet"/>
      <w:lvlText w:val=""/>
      <w:lvlJc w:val="left"/>
      <w:pPr>
        <w:ind w:left="185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F64A0"/>
    <w:multiLevelType w:val="hybridMultilevel"/>
    <w:tmpl w:val="162CF0FE"/>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26D742B9"/>
    <w:multiLevelType w:val="hybridMultilevel"/>
    <w:tmpl w:val="0134A0BC"/>
    <w:lvl w:ilvl="0" w:tplc="D28E169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2ABD4CCB"/>
    <w:multiLevelType w:val="hybridMultilevel"/>
    <w:tmpl w:val="B1D4A962"/>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302B0ECB"/>
    <w:multiLevelType w:val="hybridMultilevel"/>
    <w:tmpl w:val="45B49C68"/>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39400A12"/>
    <w:multiLevelType w:val="hybridMultilevel"/>
    <w:tmpl w:val="27A4399A"/>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39A95042"/>
    <w:multiLevelType w:val="hybridMultilevel"/>
    <w:tmpl w:val="7B027724"/>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61A132B9"/>
    <w:multiLevelType w:val="hybridMultilevel"/>
    <w:tmpl w:val="563006FE"/>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63C24B5A"/>
    <w:multiLevelType w:val="hybridMultilevel"/>
    <w:tmpl w:val="DD664442"/>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7FA52BAF"/>
    <w:multiLevelType w:val="hybridMultilevel"/>
    <w:tmpl w:val="15C22A72"/>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0"/>
  </w:num>
  <w:num w:numId="2">
    <w:abstractNumId w:val="8"/>
  </w:num>
  <w:num w:numId="3">
    <w:abstractNumId w:val="0"/>
  </w:num>
  <w:num w:numId="4">
    <w:abstractNumId w:val="5"/>
  </w:num>
  <w:num w:numId="5">
    <w:abstractNumId w:val="1"/>
  </w:num>
  <w:num w:numId="6">
    <w:abstractNumId w:val="3"/>
  </w:num>
  <w:num w:numId="7">
    <w:abstractNumId w:val="11"/>
  </w:num>
  <w:num w:numId="8">
    <w:abstractNumId w:val="7"/>
  </w:num>
  <w:num w:numId="9">
    <w:abstractNumId w:val="9"/>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4C"/>
    <w:rsid w:val="00000343"/>
    <w:rsid w:val="000014C5"/>
    <w:rsid w:val="00001972"/>
    <w:rsid w:val="00001EDD"/>
    <w:rsid w:val="000043D2"/>
    <w:rsid w:val="00005BBB"/>
    <w:rsid w:val="00006F1C"/>
    <w:rsid w:val="00006FBC"/>
    <w:rsid w:val="000073CE"/>
    <w:rsid w:val="0001155C"/>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CFF"/>
    <w:rsid w:val="00054D0E"/>
    <w:rsid w:val="00055CF5"/>
    <w:rsid w:val="00057B5E"/>
    <w:rsid w:val="00057B67"/>
    <w:rsid w:val="000619F3"/>
    <w:rsid w:val="000621C7"/>
    <w:rsid w:val="000628D8"/>
    <w:rsid w:val="000639BD"/>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3B32"/>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32A"/>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025"/>
    <w:rsid w:val="002522EF"/>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5EB0"/>
    <w:rsid w:val="002F666F"/>
    <w:rsid w:val="003002FE"/>
    <w:rsid w:val="00301924"/>
    <w:rsid w:val="0030261D"/>
    <w:rsid w:val="00302ED7"/>
    <w:rsid w:val="00303689"/>
    <w:rsid w:val="00305364"/>
    <w:rsid w:val="00305A2D"/>
    <w:rsid w:val="003106F5"/>
    <w:rsid w:val="00311A90"/>
    <w:rsid w:val="00311C9A"/>
    <w:rsid w:val="0031205E"/>
    <w:rsid w:val="0031537D"/>
    <w:rsid w:val="00315727"/>
    <w:rsid w:val="00316309"/>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21AD"/>
    <w:rsid w:val="00343B0F"/>
    <w:rsid w:val="00345AF5"/>
    <w:rsid w:val="00346573"/>
    <w:rsid w:val="00346D93"/>
    <w:rsid w:val="00347B1C"/>
    <w:rsid w:val="00360D2C"/>
    <w:rsid w:val="00360E12"/>
    <w:rsid w:val="0036424D"/>
    <w:rsid w:val="0036437B"/>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36D"/>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5004"/>
    <w:rsid w:val="003E0A05"/>
    <w:rsid w:val="003E1958"/>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D35"/>
    <w:rsid w:val="00487DEA"/>
    <w:rsid w:val="00487FC4"/>
    <w:rsid w:val="004901B2"/>
    <w:rsid w:val="00490857"/>
    <w:rsid w:val="004908D1"/>
    <w:rsid w:val="0049453E"/>
    <w:rsid w:val="00496375"/>
    <w:rsid w:val="00497092"/>
    <w:rsid w:val="004976DE"/>
    <w:rsid w:val="00497804"/>
    <w:rsid w:val="004978E8"/>
    <w:rsid w:val="004A0903"/>
    <w:rsid w:val="004A1D10"/>
    <w:rsid w:val="004A29A9"/>
    <w:rsid w:val="004A5719"/>
    <w:rsid w:val="004A5BCC"/>
    <w:rsid w:val="004A63F6"/>
    <w:rsid w:val="004A7192"/>
    <w:rsid w:val="004A7D89"/>
    <w:rsid w:val="004B0129"/>
    <w:rsid w:val="004B0B9E"/>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1185"/>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1638"/>
    <w:rsid w:val="005C2723"/>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422F"/>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22F1"/>
    <w:rsid w:val="006A45A1"/>
    <w:rsid w:val="006A4B4B"/>
    <w:rsid w:val="006A5889"/>
    <w:rsid w:val="006B12E5"/>
    <w:rsid w:val="006B53AC"/>
    <w:rsid w:val="006B6781"/>
    <w:rsid w:val="006B71F7"/>
    <w:rsid w:val="006C0042"/>
    <w:rsid w:val="006C20D4"/>
    <w:rsid w:val="006C2E83"/>
    <w:rsid w:val="006C3DBE"/>
    <w:rsid w:val="006C4856"/>
    <w:rsid w:val="006C65AC"/>
    <w:rsid w:val="006D033B"/>
    <w:rsid w:val="006D06A3"/>
    <w:rsid w:val="006D089C"/>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0C9C"/>
    <w:rsid w:val="008010E7"/>
    <w:rsid w:val="00803BB8"/>
    <w:rsid w:val="00805281"/>
    <w:rsid w:val="008060C3"/>
    <w:rsid w:val="008069EC"/>
    <w:rsid w:val="00810FCD"/>
    <w:rsid w:val="0081140E"/>
    <w:rsid w:val="00813294"/>
    <w:rsid w:val="00814C51"/>
    <w:rsid w:val="00814CDD"/>
    <w:rsid w:val="00817182"/>
    <w:rsid w:val="00820986"/>
    <w:rsid w:val="00820C93"/>
    <w:rsid w:val="00820D6C"/>
    <w:rsid w:val="008227CA"/>
    <w:rsid w:val="00823CE8"/>
    <w:rsid w:val="0082442D"/>
    <w:rsid w:val="00825937"/>
    <w:rsid w:val="00826339"/>
    <w:rsid w:val="008268FD"/>
    <w:rsid w:val="00834300"/>
    <w:rsid w:val="00840319"/>
    <w:rsid w:val="00840574"/>
    <w:rsid w:val="00840BFD"/>
    <w:rsid w:val="00841638"/>
    <w:rsid w:val="008449EE"/>
    <w:rsid w:val="0084506C"/>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0E7"/>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B41DB"/>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36BE"/>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54133"/>
    <w:rsid w:val="00A55C7D"/>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5A68"/>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328E"/>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6BD0"/>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40802"/>
    <w:rsid w:val="00D41373"/>
    <w:rsid w:val="00D4676E"/>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6BCF"/>
    <w:rsid w:val="00DA6FC0"/>
    <w:rsid w:val="00DA7EC3"/>
    <w:rsid w:val="00DB0595"/>
    <w:rsid w:val="00DB1FA8"/>
    <w:rsid w:val="00DB603A"/>
    <w:rsid w:val="00DB74D3"/>
    <w:rsid w:val="00DC02F7"/>
    <w:rsid w:val="00DC0825"/>
    <w:rsid w:val="00DC4B3C"/>
    <w:rsid w:val="00DC5A3E"/>
    <w:rsid w:val="00DC5CF8"/>
    <w:rsid w:val="00DC6276"/>
    <w:rsid w:val="00DC74C1"/>
    <w:rsid w:val="00DC7C1F"/>
    <w:rsid w:val="00DD191A"/>
    <w:rsid w:val="00DD365D"/>
    <w:rsid w:val="00DD4D67"/>
    <w:rsid w:val="00DD77EF"/>
    <w:rsid w:val="00DE155E"/>
    <w:rsid w:val="00DE18A5"/>
    <w:rsid w:val="00DE1EF1"/>
    <w:rsid w:val="00DE3141"/>
    <w:rsid w:val="00DE31C0"/>
    <w:rsid w:val="00DE3B29"/>
    <w:rsid w:val="00DE4BB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665"/>
    <w:rsid w:val="00EE1EE5"/>
    <w:rsid w:val="00EE2493"/>
    <w:rsid w:val="00EE331A"/>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EC6F"/>
  <w15:docId w15:val="{31538A5E-65E9-46E8-9E87-4DF7BCA1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3421AD"/>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EEED-E961-4AB5-B7E3-B9D4D032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()().dotx</Template>
  <TotalTime>458</TotalTime>
  <Pages>1</Pages>
  <Words>6579</Words>
  <Characters>37503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Timur Unarokov</cp:lastModifiedBy>
  <cp:revision>21</cp:revision>
  <dcterms:created xsi:type="dcterms:W3CDTF">2015-05-31T09:44:00Z</dcterms:created>
  <dcterms:modified xsi:type="dcterms:W3CDTF">2015-12-21T07:29:00Z</dcterms:modified>
</cp:coreProperties>
</file>